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1E" w:rsidRDefault="002C561E" w:rsidP="00062154">
      <w:pPr>
        <w:pStyle w:val="Header"/>
        <w:tabs>
          <w:tab w:val="clear" w:pos="4320"/>
          <w:tab w:val="center" w:pos="2520"/>
        </w:tabs>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6858000</wp:posOffset>
            </wp:positionH>
            <wp:positionV relativeFrom="paragraph">
              <wp:posOffset>66675</wp:posOffset>
            </wp:positionV>
            <wp:extent cx="1323975" cy="561975"/>
            <wp:effectExtent l="19050" t="0" r="9525" b="0"/>
            <wp:wrapNone/>
            <wp:docPr id="2" name="Picture 2" descr="http://avanet/companyresources/corpid/documents/logos/Avista_Blue_Po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net/companyresources/corpid/documents/logos/Avista_Blue_Pos_lg.jpg"/>
                    <pic:cNvPicPr>
                      <a:picLocks noChangeAspect="1" noChangeArrowheads="1"/>
                    </pic:cNvPicPr>
                  </pic:nvPicPr>
                  <pic:blipFill>
                    <a:blip r:embed="rId8" r:link="rId9" cstate="print"/>
                    <a:srcRect/>
                    <a:stretch>
                      <a:fillRect/>
                    </a:stretch>
                  </pic:blipFill>
                  <pic:spPr bwMode="auto">
                    <a:xfrm>
                      <a:off x="0" y="0"/>
                      <a:ext cx="1323975" cy="561975"/>
                    </a:xfrm>
                    <a:prstGeom prst="rect">
                      <a:avLst/>
                    </a:prstGeom>
                    <a:noFill/>
                    <a:ln w="9525">
                      <a:noFill/>
                      <a:miter lim="800000"/>
                      <a:headEnd/>
                      <a:tailEnd/>
                    </a:ln>
                  </pic:spPr>
                </pic:pic>
              </a:graphicData>
            </a:graphic>
          </wp:anchor>
        </w:drawing>
      </w:r>
      <w:r w:rsidR="00386CD9">
        <w:rPr>
          <w:rFonts w:ascii="Arial" w:hAnsi="Arial" w:cs="Arial"/>
          <w:b/>
        </w:rPr>
        <w:tab/>
      </w:r>
      <w:r w:rsidR="00386CD9">
        <w:rPr>
          <w:rFonts w:ascii="Arial" w:hAnsi="Arial" w:cs="Arial"/>
          <w:b/>
        </w:rPr>
        <w:tab/>
      </w:r>
    </w:p>
    <w:p w:rsidR="00A1051E" w:rsidRPr="00944664" w:rsidRDefault="00A1051E" w:rsidP="00062154">
      <w:pPr>
        <w:pStyle w:val="Header"/>
        <w:tabs>
          <w:tab w:val="clear" w:pos="4320"/>
          <w:tab w:val="center" w:pos="2520"/>
        </w:tabs>
        <w:rPr>
          <w:b/>
          <w:sz w:val="22"/>
          <w:szCs w:val="22"/>
        </w:rPr>
      </w:pPr>
    </w:p>
    <w:p w:rsidR="00D459D3" w:rsidRPr="00C92E6C" w:rsidRDefault="00386CD9" w:rsidP="00062154">
      <w:pPr>
        <w:pStyle w:val="Header"/>
        <w:tabs>
          <w:tab w:val="clear" w:pos="4320"/>
          <w:tab w:val="center" w:pos="2520"/>
          <w:tab w:val="left" w:pos="4680"/>
        </w:tabs>
        <w:rPr>
          <w:b/>
          <w:sz w:val="28"/>
          <w:szCs w:val="28"/>
        </w:rPr>
      </w:pPr>
      <w:r w:rsidRPr="00C92E6C">
        <w:rPr>
          <w:b/>
          <w:sz w:val="28"/>
          <w:szCs w:val="28"/>
        </w:rPr>
        <w:t>Avista Corporation</w:t>
      </w:r>
      <w:r w:rsidR="00EC0565" w:rsidRPr="00C92E6C">
        <w:rPr>
          <w:b/>
          <w:sz w:val="28"/>
          <w:szCs w:val="28"/>
        </w:rPr>
        <w:t xml:space="preserve">          </w:t>
      </w:r>
      <w:r w:rsidR="004328FF" w:rsidRPr="00C92E6C">
        <w:rPr>
          <w:b/>
          <w:sz w:val="28"/>
          <w:szCs w:val="28"/>
        </w:rPr>
        <w:tab/>
      </w:r>
      <w:r w:rsidR="00EC0565" w:rsidRPr="00C92E6C">
        <w:rPr>
          <w:b/>
          <w:sz w:val="28"/>
          <w:szCs w:val="28"/>
        </w:rPr>
        <w:t xml:space="preserve"> Transmission Services</w:t>
      </w:r>
    </w:p>
    <w:p w:rsidR="00D459D3" w:rsidRPr="00C92E6C" w:rsidRDefault="00D459D3" w:rsidP="00062154">
      <w:pPr>
        <w:pBdr>
          <w:bottom w:val="single" w:sz="4" w:space="1" w:color="auto"/>
        </w:pBdr>
        <w:ind w:left="2160" w:hanging="2160"/>
        <w:rPr>
          <w:sz w:val="28"/>
          <w:szCs w:val="28"/>
        </w:rPr>
      </w:pPr>
    </w:p>
    <w:p w:rsidR="00D459D3" w:rsidRPr="00944664" w:rsidRDefault="00D459D3" w:rsidP="00062154">
      <w:pPr>
        <w:pStyle w:val="Header"/>
        <w:tabs>
          <w:tab w:val="clear" w:pos="4320"/>
          <w:tab w:val="clear" w:pos="8640"/>
          <w:tab w:val="left" w:pos="7170"/>
        </w:tabs>
        <w:ind w:left="2160" w:hanging="2160"/>
        <w:rPr>
          <w:b/>
          <w:snapToGrid w:val="0"/>
          <w:sz w:val="22"/>
          <w:szCs w:val="22"/>
        </w:rPr>
      </w:pPr>
    </w:p>
    <w:p w:rsidR="00D459D3" w:rsidRPr="00C92E6C" w:rsidRDefault="00364AF4" w:rsidP="00062154">
      <w:pPr>
        <w:pStyle w:val="Header"/>
        <w:tabs>
          <w:tab w:val="clear" w:pos="4320"/>
          <w:tab w:val="clear" w:pos="8640"/>
          <w:tab w:val="left" w:pos="7170"/>
        </w:tabs>
        <w:ind w:left="2160" w:hanging="2160"/>
        <w:rPr>
          <w:b/>
          <w:snapToGrid w:val="0"/>
          <w:sz w:val="28"/>
          <w:szCs w:val="28"/>
        </w:rPr>
      </w:pPr>
      <w:r w:rsidRPr="00C92E6C">
        <w:rPr>
          <w:b/>
          <w:snapToGrid w:val="0"/>
          <w:sz w:val="28"/>
          <w:szCs w:val="28"/>
        </w:rPr>
        <w:t>Capacity Benefit Margin</w:t>
      </w:r>
      <w:r w:rsidR="00386CD9" w:rsidRPr="00C92E6C">
        <w:rPr>
          <w:b/>
          <w:snapToGrid w:val="0"/>
          <w:sz w:val="28"/>
          <w:szCs w:val="28"/>
        </w:rPr>
        <w:t xml:space="preserve"> Implementation Document</w:t>
      </w:r>
      <w:r w:rsidRPr="00C92E6C">
        <w:rPr>
          <w:b/>
          <w:snapToGrid w:val="0"/>
          <w:sz w:val="28"/>
          <w:szCs w:val="28"/>
        </w:rPr>
        <w:t xml:space="preserve"> (CBMID)</w:t>
      </w:r>
    </w:p>
    <w:p w:rsidR="00D459D3" w:rsidRPr="00944664" w:rsidRDefault="00D459D3" w:rsidP="00062154">
      <w:pPr>
        <w:pStyle w:val="Header"/>
        <w:tabs>
          <w:tab w:val="clear" w:pos="4320"/>
          <w:tab w:val="clear" w:pos="8640"/>
          <w:tab w:val="left" w:pos="7170"/>
        </w:tabs>
        <w:ind w:left="2160" w:hanging="2160"/>
        <w:rPr>
          <w:b/>
          <w:sz w:val="22"/>
          <w:szCs w:val="22"/>
        </w:rPr>
      </w:pPr>
    </w:p>
    <w:p w:rsidR="00D459D3" w:rsidRPr="00944664" w:rsidRDefault="00EC0565" w:rsidP="00062154">
      <w:pPr>
        <w:ind w:left="1620" w:hanging="1620"/>
        <w:rPr>
          <w:color w:val="993300"/>
          <w:sz w:val="22"/>
          <w:szCs w:val="22"/>
        </w:rPr>
      </w:pPr>
      <w:r w:rsidRPr="00944664">
        <w:rPr>
          <w:b/>
          <w:i/>
          <w:sz w:val="22"/>
          <w:szCs w:val="22"/>
        </w:rPr>
        <w:t>Posted:</w:t>
      </w:r>
      <w:r w:rsidRPr="00944664">
        <w:rPr>
          <w:b/>
          <w:i/>
          <w:sz w:val="22"/>
          <w:szCs w:val="22"/>
        </w:rPr>
        <w:tab/>
      </w:r>
      <w:r w:rsidR="00CE184C">
        <w:rPr>
          <w:sz w:val="22"/>
          <w:szCs w:val="22"/>
        </w:rPr>
        <w:t>March 1, 2013</w:t>
      </w:r>
    </w:p>
    <w:p w:rsidR="00D459D3" w:rsidRPr="00944664" w:rsidRDefault="00EC0565" w:rsidP="00062154">
      <w:pPr>
        <w:tabs>
          <w:tab w:val="left" w:pos="720"/>
          <w:tab w:val="left" w:pos="1440"/>
          <w:tab w:val="left" w:pos="6345"/>
        </w:tabs>
        <w:ind w:left="1620" w:hanging="1620"/>
        <w:rPr>
          <w:b/>
          <w:i/>
          <w:sz w:val="22"/>
          <w:szCs w:val="22"/>
        </w:rPr>
      </w:pPr>
      <w:r w:rsidRPr="00944664">
        <w:rPr>
          <w:b/>
          <w:i/>
          <w:sz w:val="22"/>
          <w:szCs w:val="22"/>
        </w:rPr>
        <w:t xml:space="preserve">Effective: </w:t>
      </w:r>
      <w:r w:rsidRPr="00944664">
        <w:rPr>
          <w:b/>
          <w:i/>
          <w:sz w:val="22"/>
          <w:szCs w:val="22"/>
        </w:rPr>
        <w:tab/>
      </w:r>
      <w:r w:rsidRPr="00944664">
        <w:rPr>
          <w:b/>
          <w:i/>
          <w:sz w:val="22"/>
          <w:szCs w:val="22"/>
        </w:rPr>
        <w:tab/>
      </w:r>
      <w:r w:rsidR="00386CD9" w:rsidRPr="00944664">
        <w:rPr>
          <w:sz w:val="22"/>
          <w:szCs w:val="22"/>
        </w:rPr>
        <w:t xml:space="preserve">April 1, </w:t>
      </w:r>
      <w:r w:rsidR="00CE184C">
        <w:rPr>
          <w:sz w:val="22"/>
          <w:szCs w:val="22"/>
        </w:rPr>
        <w:t>2013</w:t>
      </w:r>
      <w:r w:rsidRPr="00944664">
        <w:rPr>
          <w:b/>
          <w:i/>
          <w:sz w:val="22"/>
          <w:szCs w:val="22"/>
        </w:rPr>
        <w:tab/>
      </w:r>
    </w:p>
    <w:p w:rsidR="00D459D3" w:rsidRPr="00944664" w:rsidRDefault="00EC0565" w:rsidP="00062154">
      <w:pPr>
        <w:ind w:left="1620" w:hanging="1620"/>
        <w:rPr>
          <w:color w:val="FF0000"/>
          <w:sz w:val="22"/>
          <w:szCs w:val="22"/>
        </w:rPr>
      </w:pPr>
      <w:r w:rsidRPr="00944664">
        <w:rPr>
          <w:b/>
          <w:i/>
          <w:sz w:val="22"/>
          <w:szCs w:val="22"/>
        </w:rPr>
        <w:t>Revision No.:</w:t>
      </w:r>
      <w:r w:rsidRPr="00944664">
        <w:rPr>
          <w:sz w:val="22"/>
          <w:szCs w:val="22"/>
        </w:rPr>
        <w:tab/>
      </w:r>
      <w:r w:rsidR="00CE184C">
        <w:rPr>
          <w:sz w:val="22"/>
          <w:szCs w:val="22"/>
        </w:rPr>
        <w:t>2</w:t>
      </w:r>
    </w:p>
    <w:p w:rsidR="00D459D3" w:rsidRPr="00944664" w:rsidRDefault="00D459D3" w:rsidP="00062154">
      <w:pPr>
        <w:pBdr>
          <w:bottom w:val="single" w:sz="4" w:space="1" w:color="auto"/>
        </w:pBdr>
        <w:ind w:left="360" w:hanging="360"/>
        <w:rPr>
          <w:sz w:val="22"/>
          <w:szCs w:val="22"/>
        </w:rPr>
      </w:pPr>
    </w:p>
    <w:p w:rsidR="00D459D3" w:rsidRPr="00944664" w:rsidRDefault="00D459D3" w:rsidP="00062154">
      <w:pPr>
        <w:rPr>
          <w:sz w:val="22"/>
          <w:szCs w:val="22"/>
        </w:rPr>
      </w:pPr>
    </w:p>
    <w:p w:rsidR="002F57D3" w:rsidRPr="00944664" w:rsidRDefault="002F57D3" w:rsidP="00062154">
      <w:pPr>
        <w:rPr>
          <w:b/>
          <w:sz w:val="22"/>
          <w:szCs w:val="22"/>
          <w:u w:val="single"/>
        </w:rPr>
      </w:pPr>
      <w:r w:rsidRPr="00944664">
        <w:rPr>
          <w:b/>
          <w:sz w:val="22"/>
          <w:szCs w:val="22"/>
          <w:u w:val="single"/>
        </w:rPr>
        <w:t xml:space="preserve">Section 1 – </w:t>
      </w:r>
      <w:r w:rsidR="00960604" w:rsidRPr="00944664">
        <w:rPr>
          <w:b/>
          <w:sz w:val="22"/>
          <w:szCs w:val="22"/>
          <w:u w:val="single"/>
        </w:rPr>
        <w:t xml:space="preserve">NERC </w:t>
      </w:r>
      <w:r w:rsidRPr="00944664">
        <w:rPr>
          <w:b/>
          <w:sz w:val="22"/>
          <w:szCs w:val="22"/>
          <w:u w:val="single"/>
        </w:rPr>
        <w:t>defined terms:</w:t>
      </w:r>
    </w:p>
    <w:p w:rsidR="00AE021C" w:rsidRPr="00944664" w:rsidRDefault="00AE021C" w:rsidP="00062154">
      <w:pPr>
        <w:pStyle w:val="Default"/>
        <w:rPr>
          <w:sz w:val="22"/>
          <w:szCs w:val="22"/>
        </w:rPr>
      </w:pPr>
    </w:p>
    <w:p w:rsidR="00AE021C" w:rsidRPr="00944664" w:rsidRDefault="00AE021C" w:rsidP="00BA1B9F">
      <w:pPr>
        <w:pStyle w:val="Default"/>
        <w:ind w:left="720"/>
        <w:rPr>
          <w:sz w:val="22"/>
          <w:szCs w:val="22"/>
        </w:rPr>
      </w:pPr>
      <w:r w:rsidRPr="00944664">
        <w:rPr>
          <w:b/>
          <w:bCs/>
          <w:sz w:val="22"/>
          <w:szCs w:val="22"/>
        </w:rPr>
        <w:t xml:space="preserve">CBM </w:t>
      </w:r>
      <w:r w:rsidRPr="00944664">
        <w:rPr>
          <w:sz w:val="22"/>
          <w:szCs w:val="22"/>
        </w:rPr>
        <w:t xml:space="preserve">is the Capacity Benefit Margin for the ATC Path during that period. </w:t>
      </w:r>
    </w:p>
    <w:p w:rsidR="00A1051E" w:rsidRPr="00944664" w:rsidRDefault="00A1051E" w:rsidP="00BA1B9F">
      <w:pPr>
        <w:pStyle w:val="Default"/>
        <w:ind w:left="720"/>
        <w:rPr>
          <w:sz w:val="22"/>
          <w:szCs w:val="22"/>
        </w:rPr>
      </w:pPr>
    </w:p>
    <w:p w:rsidR="00A1051E" w:rsidRPr="00944664" w:rsidRDefault="00A1051E" w:rsidP="00BA1B9F">
      <w:pPr>
        <w:pStyle w:val="Default"/>
        <w:ind w:left="720"/>
        <w:rPr>
          <w:sz w:val="22"/>
          <w:szCs w:val="22"/>
        </w:rPr>
      </w:pPr>
      <w:proofErr w:type="gramStart"/>
      <w:r w:rsidRPr="00944664">
        <w:rPr>
          <w:b/>
          <w:bCs/>
          <w:sz w:val="22"/>
          <w:szCs w:val="22"/>
        </w:rPr>
        <w:t>CBM</w:t>
      </w:r>
      <w:r w:rsidR="00BA1B9F" w:rsidRPr="00944664">
        <w:rPr>
          <w:b/>
          <w:bCs/>
          <w:sz w:val="22"/>
          <w:szCs w:val="22"/>
          <w:vertAlign w:val="subscript"/>
        </w:rPr>
        <w:t>s</w:t>
      </w:r>
      <w:r w:rsidRPr="00944664">
        <w:rPr>
          <w:b/>
          <w:bCs/>
          <w:position w:val="-10"/>
          <w:sz w:val="22"/>
          <w:szCs w:val="22"/>
          <w:vertAlign w:val="subscript"/>
        </w:rPr>
        <w:t xml:space="preserve"> </w:t>
      </w:r>
      <w:r w:rsidRPr="00944664">
        <w:rPr>
          <w:sz w:val="22"/>
          <w:szCs w:val="22"/>
        </w:rPr>
        <w:t>is</w:t>
      </w:r>
      <w:proofErr w:type="gramEnd"/>
      <w:r w:rsidRPr="00944664">
        <w:rPr>
          <w:sz w:val="22"/>
          <w:szCs w:val="22"/>
        </w:rPr>
        <w:t xml:space="preserve"> the Capacity Benefit Margin for the ATC Path that has been scheduled during that period. </w:t>
      </w:r>
    </w:p>
    <w:p w:rsidR="00364AF4" w:rsidRPr="00944664" w:rsidRDefault="00364AF4" w:rsidP="00062154">
      <w:pPr>
        <w:rPr>
          <w:b/>
          <w:sz w:val="22"/>
          <w:szCs w:val="22"/>
          <w:u w:val="single"/>
        </w:rPr>
      </w:pPr>
    </w:p>
    <w:p w:rsidR="00041B6B" w:rsidRPr="00944664" w:rsidRDefault="00041B6B" w:rsidP="00062154">
      <w:pPr>
        <w:rPr>
          <w:b/>
          <w:sz w:val="22"/>
          <w:szCs w:val="22"/>
          <w:u w:val="single"/>
        </w:rPr>
      </w:pPr>
    </w:p>
    <w:p w:rsidR="00960604" w:rsidRPr="00944664" w:rsidRDefault="00960604" w:rsidP="00062154">
      <w:pPr>
        <w:rPr>
          <w:b/>
          <w:sz w:val="22"/>
          <w:szCs w:val="22"/>
          <w:u w:val="single"/>
        </w:rPr>
      </w:pPr>
      <w:r w:rsidRPr="00944664">
        <w:rPr>
          <w:b/>
          <w:sz w:val="22"/>
          <w:szCs w:val="22"/>
          <w:u w:val="single"/>
        </w:rPr>
        <w:t>Section 2 – Avista Application of defined terms:</w:t>
      </w:r>
    </w:p>
    <w:p w:rsidR="002F57D3" w:rsidRPr="00944664" w:rsidRDefault="002F57D3" w:rsidP="00062154">
      <w:pPr>
        <w:rPr>
          <w:b/>
          <w:sz w:val="22"/>
          <w:szCs w:val="22"/>
          <w:u w:val="single"/>
        </w:rPr>
      </w:pPr>
    </w:p>
    <w:p w:rsidR="00087C49" w:rsidRPr="00194D40" w:rsidRDefault="00087C49" w:rsidP="00194D40">
      <w:pPr>
        <w:ind w:left="720"/>
        <w:rPr>
          <w:sz w:val="22"/>
          <w:szCs w:val="22"/>
        </w:rPr>
      </w:pPr>
      <w:r w:rsidRPr="00194D40">
        <w:rPr>
          <w:b/>
          <w:sz w:val="22"/>
          <w:szCs w:val="22"/>
        </w:rPr>
        <w:t>CBM</w:t>
      </w:r>
      <w:r w:rsidRPr="00194D40">
        <w:rPr>
          <w:sz w:val="22"/>
          <w:szCs w:val="22"/>
        </w:rPr>
        <w:t xml:space="preserve"> is currently defined as zero.  No </w:t>
      </w:r>
      <w:r w:rsidR="00BA1B9F" w:rsidRPr="00194D40">
        <w:rPr>
          <w:sz w:val="22"/>
          <w:szCs w:val="22"/>
        </w:rPr>
        <w:t>Load Serving Entity (</w:t>
      </w:r>
      <w:r w:rsidRPr="00194D40">
        <w:rPr>
          <w:sz w:val="22"/>
          <w:szCs w:val="22"/>
        </w:rPr>
        <w:t>LSE</w:t>
      </w:r>
      <w:r w:rsidR="00BA1B9F" w:rsidRPr="00194D40">
        <w:rPr>
          <w:sz w:val="22"/>
          <w:szCs w:val="22"/>
        </w:rPr>
        <w:t>)</w:t>
      </w:r>
      <w:r w:rsidRPr="00194D40">
        <w:rPr>
          <w:sz w:val="22"/>
          <w:szCs w:val="22"/>
        </w:rPr>
        <w:t xml:space="preserve"> serving load on the Avista system</w:t>
      </w:r>
      <w:r w:rsidR="007530EF">
        <w:rPr>
          <w:sz w:val="22"/>
          <w:szCs w:val="22"/>
        </w:rPr>
        <w:t xml:space="preserve"> or Resource Planner associated with the Balancing Authority Area</w:t>
      </w:r>
      <w:r w:rsidRPr="00194D40">
        <w:rPr>
          <w:sz w:val="22"/>
          <w:szCs w:val="22"/>
        </w:rPr>
        <w:t xml:space="preserve"> has requested CBM.  </w:t>
      </w:r>
    </w:p>
    <w:p w:rsidR="00087C49" w:rsidRPr="00944664" w:rsidRDefault="00087C49" w:rsidP="00087C49">
      <w:pPr>
        <w:ind w:left="1800"/>
        <w:rPr>
          <w:sz w:val="22"/>
          <w:szCs w:val="22"/>
        </w:rPr>
      </w:pPr>
    </w:p>
    <w:p w:rsidR="00087C49" w:rsidRPr="00194D40" w:rsidRDefault="00087C49" w:rsidP="00194D40">
      <w:pPr>
        <w:ind w:left="720"/>
        <w:rPr>
          <w:sz w:val="22"/>
          <w:szCs w:val="22"/>
        </w:rPr>
      </w:pPr>
      <w:r w:rsidRPr="00194D40">
        <w:rPr>
          <w:b/>
          <w:sz w:val="22"/>
          <w:szCs w:val="22"/>
        </w:rPr>
        <w:t>CBM</w:t>
      </w:r>
      <w:r w:rsidR="00BA1B9F" w:rsidRPr="00194D40">
        <w:rPr>
          <w:b/>
          <w:sz w:val="22"/>
          <w:szCs w:val="22"/>
          <w:vertAlign w:val="subscript"/>
        </w:rPr>
        <w:t>s</w:t>
      </w:r>
      <w:r w:rsidRPr="00194D40">
        <w:rPr>
          <w:sz w:val="22"/>
          <w:szCs w:val="22"/>
        </w:rPr>
        <w:t xml:space="preserve"> will not be a value of anything other than zero since CBM has not been approved. </w:t>
      </w:r>
    </w:p>
    <w:p w:rsidR="002F57D3" w:rsidRPr="00944664" w:rsidRDefault="002F57D3" w:rsidP="00087C49">
      <w:pPr>
        <w:pStyle w:val="ListParagraph"/>
        <w:ind w:left="1800"/>
        <w:rPr>
          <w:sz w:val="22"/>
          <w:szCs w:val="22"/>
        </w:rPr>
      </w:pPr>
    </w:p>
    <w:p w:rsidR="007E20F4" w:rsidRPr="00944664" w:rsidRDefault="007E20F4">
      <w:pPr>
        <w:rPr>
          <w:b/>
          <w:sz w:val="22"/>
          <w:szCs w:val="22"/>
          <w:u w:val="single"/>
        </w:rPr>
      </w:pPr>
      <w:r w:rsidRPr="00944664">
        <w:rPr>
          <w:b/>
          <w:sz w:val="22"/>
          <w:szCs w:val="22"/>
          <w:u w:val="single"/>
        </w:rPr>
        <w:br w:type="page"/>
      </w:r>
    </w:p>
    <w:p w:rsidR="00386CD9" w:rsidRPr="00944664" w:rsidRDefault="00B227C0" w:rsidP="00062154">
      <w:pPr>
        <w:rPr>
          <w:b/>
          <w:sz w:val="22"/>
          <w:szCs w:val="22"/>
          <w:u w:val="single"/>
        </w:rPr>
      </w:pPr>
      <w:r w:rsidRPr="00944664">
        <w:rPr>
          <w:b/>
          <w:sz w:val="22"/>
          <w:szCs w:val="22"/>
          <w:u w:val="single"/>
        </w:rPr>
        <w:lastRenderedPageBreak/>
        <w:t xml:space="preserve">Section </w:t>
      </w:r>
      <w:r w:rsidR="009B06F4" w:rsidRPr="00944664">
        <w:rPr>
          <w:b/>
          <w:sz w:val="22"/>
          <w:szCs w:val="22"/>
          <w:u w:val="single"/>
        </w:rPr>
        <w:t>3</w:t>
      </w:r>
      <w:r w:rsidRPr="00944664">
        <w:rPr>
          <w:b/>
          <w:sz w:val="22"/>
          <w:szCs w:val="22"/>
          <w:u w:val="single"/>
        </w:rPr>
        <w:t xml:space="preserve"> </w:t>
      </w:r>
      <w:r w:rsidR="009137A6" w:rsidRPr="00944664">
        <w:rPr>
          <w:b/>
          <w:sz w:val="22"/>
          <w:szCs w:val="22"/>
          <w:u w:val="single"/>
        </w:rPr>
        <w:t>–</w:t>
      </w:r>
      <w:r w:rsidRPr="00944664">
        <w:rPr>
          <w:b/>
          <w:sz w:val="22"/>
          <w:szCs w:val="22"/>
          <w:u w:val="single"/>
        </w:rPr>
        <w:t xml:space="preserve"> </w:t>
      </w:r>
      <w:r w:rsidR="009137A6" w:rsidRPr="00944664">
        <w:rPr>
          <w:b/>
          <w:sz w:val="22"/>
          <w:szCs w:val="22"/>
          <w:u w:val="single"/>
        </w:rPr>
        <w:t>Requirement 1.1</w:t>
      </w:r>
      <w:r w:rsidR="004A361E" w:rsidRPr="00944664">
        <w:rPr>
          <w:rStyle w:val="FootnoteReference"/>
          <w:b/>
          <w:sz w:val="22"/>
          <w:szCs w:val="22"/>
          <w:u w:val="single"/>
          <w:vertAlign w:val="superscript"/>
        </w:rPr>
        <w:footnoteReference w:id="1"/>
      </w:r>
      <w:r w:rsidR="009137A6" w:rsidRPr="00944664">
        <w:rPr>
          <w:b/>
          <w:sz w:val="22"/>
          <w:szCs w:val="22"/>
          <w:u w:val="single"/>
          <w:vertAlign w:val="superscript"/>
        </w:rPr>
        <w:t xml:space="preserve"> </w:t>
      </w:r>
      <w:r w:rsidR="009137A6" w:rsidRPr="00944664">
        <w:rPr>
          <w:b/>
          <w:sz w:val="22"/>
          <w:szCs w:val="22"/>
          <w:u w:val="single"/>
        </w:rPr>
        <w:t>(Process for Reviewing and Accommodating CBM)</w:t>
      </w:r>
      <w:r w:rsidR="00386CD9" w:rsidRPr="00944664">
        <w:rPr>
          <w:b/>
          <w:sz w:val="22"/>
          <w:szCs w:val="22"/>
          <w:u w:val="single"/>
        </w:rPr>
        <w:t>:</w:t>
      </w:r>
    </w:p>
    <w:p w:rsidR="00832B52" w:rsidRPr="00944664" w:rsidRDefault="00832B52" w:rsidP="00062154">
      <w:pPr>
        <w:rPr>
          <w:b/>
          <w:sz w:val="22"/>
          <w:szCs w:val="22"/>
          <w:u w:val="single"/>
        </w:rPr>
      </w:pPr>
    </w:p>
    <w:p w:rsidR="00832B52" w:rsidRPr="00944664" w:rsidRDefault="007E20F4" w:rsidP="003E0979">
      <w:pPr>
        <w:ind w:left="720"/>
        <w:rPr>
          <w:b/>
          <w:sz w:val="22"/>
          <w:szCs w:val="22"/>
        </w:rPr>
      </w:pPr>
      <w:r w:rsidRPr="00944664">
        <w:rPr>
          <w:b/>
          <w:sz w:val="22"/>
          <w:szCs w:val="22"/>
        </w:rPr>
        <w:t xml:space="preserve">An LSE within the Avista Balancing Authority </w:t>
      </w:r>
      <w:r w:rsidR="006E3BEF">
        <w:rPr>
          <w:b/>
          <w:sz w:val="22"/>
          <w:szCs w:val="22"/>
        </w:rPr>
        <w:t xml:space="preserve">Area </w:t>
      </w:r>
      <w:r w:rsidRPr="00944664">
        <w:rPr>
          <w:b/>
          <w:sz w:val="22"/>
          <w:szCs w:val="22"/>
        </w:rPr>
        <w:t xml:space="preserve">shall </w:t>
      </w:r>
      <w:r w:rsidR="003E0979" w:rsidRPr="00944664">
        <w:rPr>
          <w:b/>
          <w:sz w:val="22"/>
          <w:szCs w:val="22"/>
        </w:rPr>
        <w:t>use</w:t>
      </w:r>
      <w:r w:rsidRPr="00944664">
        <w:rPr>
          <w:b/>
          <w:sz w:val="22"/>
          <w:szCs w:val="22"/>
        </w:rPr>
        <w:t xml:space="preserve"> the following steps to </w:t>
      </w:r>
      <w:r w:rsidR="003E0979" w:rsidRPr="00944664">
        <w:rPr>
          <w:b/>
          <w:sz w:val="22"/>
          <w:szCs w:val="22"/>
        </w:rPr>
        <w:t>request the set aside of CBM capacity:</w:t>
      </w:r>
    </w:p>
    <w:p w:rsidR="003E0979" w:rsidRPr="00944664" w:rsidRDefault="003E0979" w:rsidP="00062154">
      <w:pPr>
        <w:rPr>
          <w:b/>
          <w:sz w:val="22"/>
          <w:szCs w:val="22"/>
        </w:rPr>
      </w:pPr>
    </w:p>
    <w:p w:rsidR="00386CD9" w:rsidRPr="00944664" w:rsidRDefault="003E0979" w:rsidP="003E0979">
      <w:pPr>
        <w:pStyle w:val="ListParagraph"/>
        <w:numPr>
          <w:ilvl w:val="0"/>
          <w:numId w:val="38"/>
        </w:numPr>
        <w:rPr>
          <w:sz w:val="22"/>
          <w:szCs w:val="22"/>
        </w:rPr>
      </w:pPr>
      <w:r w:rsidRPr="00944664">
        <w:rPr>
          <w:sz w:val="22"/>
          <w:szCs w:val="22"/>
        </w:rPr>
        <w:t>Determine the amount of CBM to be requested of Avista using the methodology described in MOD-004, R3.</w:t>
      </w:r>
    </w:p>
    <w:p w:rsidR="003E0979" w:rsidRPr="00944664" w:rsidRDefault="003E0979" w:rsidP="003E0979">
      <w:pPr>
        <w:pStyle w:val="ListParagraph"/>
        <w:ind w:left="1080"/>
        <w:rPr>
          <w:sz w:val="22"/>
          <w:szCs w:val="22"/>
        </w:rPr>
      </w:pPr>
    </w:p>
    <w:p w:rsidR="003E0979" w:rsidRPr="00944664" w:rsidRDefault="003E0979" w:rsidP="003E0979">
      <w:pPr>
        <w:pStyle w:val="ListParagraph"/>
        <w:numPr>
          <w:ilvl w:val="0"/>
          <w:numId w:val="38"/>
        </w:numPr>
        <w:rPr>
          <w:sz w:val="22"/>
          <w:szCs w:val="22"/>
        </w:rPr>
      </w:pPr>
      <w:r w:rsidRPr="00944664">
        <w:rPr>
          <w:sz w:val="22"/>
          <w:szCs w:val="22"/>
        </w:rPr>
        <w:t>Document the methodology and amount being requested in a formal letter to Avista</w:t>
      </w:r>
      <w:r w:rsidR="00080057" w:rsidRPr="00944664">
        <w:rPr>
          <w:sz w:val="22"/>
          <w:szCs w:val="22"/>
        </w:rPr>
        <w:t>, and on which path</w:t>
      </w:r>
    </w:p>
    <w:p w:rsidR="003E0979" w:rsidRPr="00944664" w:rsidRDefault="003E0979" w:rsidP="003E0979">
      <w:pPr>
        <w:pStyle w:val="ListParagraph"/>
        <w:rPr>
          <w:sz w:val="22"/>
          <w:szCs w:val="22"/>
        </w:rPr>
      </w:pPr>
    </w:p>
    <w:p w:rsidR="003E0979" w:rsidRPr="00944664" w:rsidRDefault="003E0979" w:rsidP="003E0979">
      <w:pPr>
        <w:pStyle w:val="ListParagraph"/>
        <w:numPr>
          <w:ilvl w:val="0"/>
          <w:numId w:val="38"/>
        </w:numPr>
        <w:rPr>
          <w:sz w:val="22"/>
          <w:szCs w:val="22"/>
        </w:rPr>
      </w:pPr>
      <w:r w:rsidRPr="00944664">
        <w:rPr>
          <w:sz w:val="22"/>
          <w:szCs w:val="22"/>
        </w:rPr>
        <w:t xml:space="preserve">Submit that letter to </w:t>
      </w:r>
      <w:hyperlink r:id="rId10" w:history="1">
        <w:r w:rsidRPr="00944664">
          <w:rPr>
            <w:rStyle w:val="Hyperlink"/>
            <w:sz w:val="22"/>
            <w:szCs w:val="22"/>
          </w:rPr>
          <w:t>NERCATCStandards@avistacorp.com</w:t>
        </w:r>
      </w:hyperlink>
      <w:r w:rsidRPr="00944664">
        <w:rPr>
          <w:sz w:val="22"/>
          <w:szCs w:val="22"/>
        </w:rPr>
        <w:t xml:space="preserve"> or via standard mail to:</w:t>
      </w:r>
    </w:p>
    <w:p w:rsidR="003E0979" w:rsidRPr="00944664" w:rsidRDefault="003E0979" w:rsidP="003E0979">
      <w:pPr>
        <w:pStyle w:val="ListParagraph"/>
        <w:rPr>
          <w:sz w:val="22"/>
          <w:szCs w:val="22"/>
        </w:rPr>
      </w:pPr>
    </w:p>
    <w:p w:rsidR="003E0979" w:rsidRPr="00944664" w:rsidRDefault="003E0979" w:rsidP="003E0979">
      <w:pPr>
        <w:pStyle w:val="ListParagraph"/>
        <w:ind w:left="1080"/>
        <w:rPr>
          <w:sz w:val="22"/>
          <w:szCs w:val="22"/>
        </w:rPr>
      </w:pPr>
      <w:r w:rsidRPr="00944664">
        <w:rPr>
          <w:sz w:val="22"/>
          <w:szCs w:val="22"/>
        </w:rPr>
        <w:t>Manager, Transmission Services</w:t>
      </w:r>
    </w:p>
    <w:p w:rsidR="003E0979" w:rsidRPr="00944664" w:rsidRDefault="003E0979" w:rsidP="003E0979">
      <w:pPr>
        <w:pStyle w:val="ListParagraph"/>
        <w:ind w:left="1080"/>
        <w:rPr>
          <w:sz w:val="22"/>
          <w:szCs w:val="22"/>
        </w:rPr>
      </w:pPr>
      <w:r w:rsidRPr="00944664">
        <w:rPr>
          <w:sz w:val="22"/>
          <w:szCs w:val="22"/>
        </w:rPr>
        <w:t>1411 E. Mission Ave, MSC-16</w:t>
      </w:r>
    </w:p>
    <w:p w:rsidR="003E0979" w:rsidRPr="00944664" w:rsidRDefault="003E0979" w:rsidP="003E0979">
      <w:pPr>
        <w:pStyle w:val="ListParagraph"/>
        <w:ind w:left="1080"/>
        <w:rPr>
          <w:sz w:val="22"/>
          <w:szCs w:val="22"/>
        </w:rPr>
      </w:pPr>
      <w:r w:rsidRPr="00944664">
        <w:rPr>
          <w:sz w:val="22"/>
          <w:szCs w:val="22"/>
        </w:rPr>
        <w:t>Spokane, WA  99252</w:t>
      </w:r>
    </w:p>
    <w:p w:rsidR="003E0979" w:rsidRPr="00944664" w:rsidRDefault="003E0979" w:rsidP="003E0979">
      <w:pPr>
        <w:pStyle w:val="ListParagraph"/>
        <w:rPr>
          <w:sz w:val="22"/>
          <w:szCs w:val="22"/>
        </w:rPr>
      </w:pPr>
    </w:p>
    <w:p w:rsidR="003E0979" w:rsidRPr="00944664" w:rsidRDefault="003E0979" w:rsidP="003E0979">
      <w:pPr>
        <w:pStyle w:val="ListParagraph"/>
        <w:numPr>
          <w:ilvl w:val="0"/>
          <w:numId w:val="38"/>
        </w:numPr>
        <w:rPr>
          <w:sz w:val="22"/>
          <w:szCs w:val="22"/>
        </w:rPr>
      </w:pPr>
      <w:r w:rsidRPr="00944664">
        <w:rPr>
          <w:sz w:val="22"/>
          <w:szCs w:val="22"/>
        </w:rPr>
        <w:t>Avista’s Transmission Services Department will determine availability for CBM and respond to submitting party within 30 days</w:t>
      </w:r>
    </w:p>
    <w:p w:rsidR="003E0979" w:rsidRPr="00944664" w:rsidRDefault="003E0979" w:rsidP="00062154">
      <w:pPr>
        <w:rPr>
          <w:sz w:val="22"/>
          <w:szCs w:val="22"/>
        </w:rPr>
      </w:pPr>
    </w:p>
    <w:p w:rsidR="00690961" w:rsidRPr="00944664" w:rsidRDefault="00690961" w:rsidP="00690961">
      <w:pPr>
        <w:ind w:left="720"/>
        <w:rPr>
          <w:b/>
          <w:sz w:val="22"/>
          <w:szCs w:val="22"/>
        </w:rPr>
      </w:pPr>
      <w:r w:rsidRPr="00944664">
        <w:rPr>
          <w:b/>
          <w:sz w:val="22"/>
          <w:szCs w:val="22"/>
        </w:rPr>
        <w:t xml:space="preserve">A Resource Planner for the Avista Balancing Authority </w:t>
      </w:r>
      <w:r w:rsidR="006E3BEF">
        <w:rPr>
          <w:b/>
          <w:sz w:val="22"/>
          <w:szCs w:val="22"/>
        </w:rPr>
        <w:t xml:space="preserve">Area </w:t>
      </w:r>
      <w:r w:rsidRPr="00944664">
        <w:rPr>
          <w:b/>
          <w:sz w:val="22"/>
          <w:szCs w:val="22"/>
        </w:rPr>
        <w:t>shall use the following steps to request the set aside of CBM capacity:</w:t>
      </w:r>
    </w:p>
    <w:p w:rsidR="00690961" w:rsidRPr="00944664" w:rsidRDefault="00690961" w:rsidP="00690961">
      <w:pPr>
        <w:rPr>
          <w:b/>
          <w:sz w:val="22"/>
          <w:szCs w:val="22"/>
        </w:rPr>
      </w:pPr>
    </w:p>
    <w:p w:rsidR="00690961" w:rsidRPr="00944664" w:rsidRDefault="00690961" w:rsidP="00690961">
      <w:pPr>
        <w:pStyle w:val="ListParagraph"/>
        <w:numPr>
          <w:ilvl w:val="0"/>
          <w:numId w:val="39"/>
        </w:numPr>
        <w:rPr>
          <w:sz w:val="22"/>
          <w:szCs w:val="22"/>
        </w:rPr>
      </w:pPr>
      <w:r w:rsidRPr="00944664">
        <w:rPr>
          <w:sz w:val="22"/>
          <w:szCs w:val="22"/>
        </w:rPr>
        <w:t>Determine the amount of CBM to be requested of Avista using the methodology described in MOD-004, R4.</w:t>
      </w:r>
    </w:p>
    <w:p w:rsidR="00690961" w:rsidRPr="00944664" w:rsidRDefault="00690961" w:rsidP="00690961">
      <w:pPr>
        <w:pStyle w:val="ListParagraph"/>
        <w:ind w:left="1080"/>
        <w:rPr>
          <w:sz w:val="22"/>
          <w:szCs w:val="22"/>
        </w:rPr>
      </w:pPr>
    </w:p>
    <w:p w:rsidR="00690961" w:rsidRPr="00944664" w:rsidRDefault="00690961" w:rsidP="00690961">
      <w:pPr>
        <w:pStyle w:val="ListParagraph"/>
        <w:numPr>
          <w:ilvl w:val="0"/>
          <w:numId w:val="39"/>
        </w:numPr>
        <w:rPr>
          <w:sz w:val="22"/>
          <w:szCs w:val="22"/>
        </w:rPr>
      </w:pPr>
      <w:r w:rsidRPr="00944664">
        <w:rPr>
          <w:sz w:val="22"/>
          <w:szCs w:val="22"/>
        </w:rPr>
        <w:t>Document the methodology and amount being requested in a formal letter to Avista</w:t>
      </w:r>
      <w:r w:rsidR="00080057" w:rsidRPr="00944664">
        <w:rPr>
          <w:sz w:val="22"/>
          <w:szCs w:val="22"/>
        </w:rPr>
        <w:t>, and on which path</w:t>
      </w:r>
    </w:p>
    <w:p w:rsidR="00690961" w:rsidRPr="00944664" w:rsidRDefault="00690961" w:rsidP="00690961">
      <w:pPr>
        <w:pStyle w:val="ListParagraph"/>
        <w:rPr>
          <w:sz w:val="22"/>
          <w:szCs w:val="22"/>
        </w:rPr>
      </w:pPr>
    </w:p>
    <w:p w:rsidR="00690961" w:rsidRPr="00944664" w:rsidRDefault="00690961" w:rsidP="00690961">
      <w:pPr>
        <w:pStyle w:val="ListParagraph"/>
        <w:numPr>
          <w:ilvl w:val="0"/>
          <w:numId w:val="39"/>
        </w:numPr>
        <w:rPr>
          <w:sz w:val="22"/>
          <w:szCs w:val="22"/>
        </w:rPr>
      </w:pPr>
      <w:r w:rsidRPr="00944664">
        <w:rPr>
          <w:sz w:val="22"/>
          <w:szCs w:val="22"/>
        </w:rPr>
        <w:t xml:space="preserve">Submit that letter to </w:t>
      </w:r>
      <w:hyperlink r:id="rId11" w:history="1">
        <w:r w:rsidRPr="00944664">
          <w:rPr>
            <w:rStyle w:val="Hyperlink"/>
            <w:sz w:val="22"/>
            <w:szCs w:val="22"/>
          </w:rPr>
          <w:t>NERCATCStandards@avistacorp.com</w:t>
        </w:r>
      </w:hyperlink>
      <w:r w:rsidRPr="00944664">
        <w:rPr>
          <w:sz w:val="22"/>
          <w:szCs w:val="22"/>
        </w:rPr>
        <w:t xml:space="preserve"> or via standard mail to:</w:t>
      </w:r>
    </w:p>
    <w:p w:rsidR="00690961" w:rsidRPr="00944664" w:rsidRDefault="00690961" w:rsidP="00690961">
      <w:pPr>
        <w:pStyle w:val="ListParagraph"/>
        <w:rPr>
          <w:sz w:val="22"/>
          <w:szCs w:val="22"/>
        </w:rPr>
      </w:pPr>
    </w:p>
    <w:p w:rsidR="00690961" w:rsidRPr="00944664" w:rsidRDefault="00690961" w:rsidP="00690961">
      <w:pPr>
        <w:pStyle w:val="ListParagraph"/>
        <w:ind w:left="1080"/>
        <w:rPr>
          <w:sz w:val="22"/>
          <w:szCs w:val="22"/>
        </w:rPr>
      </w:pPr>
      <w:r w:rsidRPr="00944664">
        <w:rPr>
          <w:sz w:val="22"/>
          <w:szCs w:val="22"/>
        </w:rPr>
        <w:t>Manager, Transmission Services</w:t>
      </w:r>
    </w:p>
    <w:p w:rsidR="00690961" w:rsidRPr="00944664" w:rsidRDefault="00690961" w:rsidP="00690961">
      <w:pPr>
        <w:pStyle w:val="ListParagraph"/>
        <w:ind w:left="1080"/>
        <w:rPr>
          <w:sz w:val="22"/>
          <w:szCs w:val="22"/>
        </w:rPr>
      </w:pPr>
      <w:r w:rsidRPr="00944664">
        <w:rPr>
          <w:sz w:val="22"/>
          <w:szCs w:val="22"/>
        </w:rPr>
        <w:t>1411 E. Mission Ave, MSC-16</w:t>
      </w:r>
    </w:p>
    <w:p w:rsidR="00690961" w:rsidRPr="00944664" w:rsidRDefault="00690961" w:rsidP="00690961">
      <w:pPr>
        <w:pStyle w:val="ListParagraph"/>
        <w:ind w:left="1080"/>
        <w:rPr>
          <w:sz w:val="22"/>
          <w:szCs w:val="22"/>
        </w:rPr>
      </w:pPr>
      <w:r w:rsidRPr="00944664">
        <w:rPr>
          <w:sz w:val="22"/>
          <w:szCs w:val="22"/>
        </w:rPr>
        <w:t>Spokane, WA  99252</w:t>
      </w:r>
    </w:p>
    <w:p w:rsidR="00690961" w:rsidRPr="00944664" w:rsidRDefault="00690961" w:rsidP="00690961">
      <w:pPr>
        <w:pStyle w:val="ListParagraph"/>
        <w:rPr>
          <w:sz w:val="22"/>
          <w:szCs w:val="22"/>
        </w:rPr>
      </w:pPr>
    </w:p>
    <w:p w:rsidR="00690961" w:rsidRPr="00944664" w:rsidRDefault="00690961" w:rsidP="00690961">
      <w:pPr>
        <w:pStyle w:val="ListParagraph"/>
        <w:numPr>
          <w:ilvl w:val="0"/>
          <w:numId w:val="39"/>
        </w:numPr>
        <w:rPr>
          <w:sz w:val="22"/>
          <w:szCs w:val="22"/>
        </w:rPr>
      </w:pPr>
      <w:r w:rsidRPr="00944664">
        <w:rPr>
          <w:sz w:val="22"/>
          <w:szCs w:val="22"/>
        </w:rPr>
        <w:t>Avista’s Transmission Services Department will determine availability for CBM and respond to submitting party within 3</w:t>
      </w:r>
      <w:r w:rsidR="008A4979">
        <w:rPr>
          <w:sz w:val="22"/>
          <w:szCs w:val="22"/>
        </w:rPr>
        <w:t>1</w:t>
      </w:r>
      <w:r w:rsidRPr="00944664">
        <w:rPr>
          <w:sz w:val="22"/>
          <w:szCs w:val="22"/>
        </w:rPr>
        <w:t xml:space="preserve"> days</w:t>
      </w:r>
      <w:r w:rsidR="008A4979" w:rsidRPr="008A4979">
        <w:rPr>
          <w:rStyle w:val="FootnoteReference"/>
          <w:sz w:val="22"/>
          <w:szCs w:val="22"/>
          <w:vertAlign w:val="superscript"/>
        </w:rPr>
        <w:footnoteReference w:id="2"/>
      </w:r>
    </w:p>
    <w:p w:rsidR="00690961" w:rsidRPr="00944664" w:rsidRDefault="00690961" w:rsidP="00062154">
      <w:pPr>
        <w:rPr>
          <w:sz w:val="22"/>
          <w:szCs w:val="22"/>
        </w:rPr>
      </w:pPr>
    </w:p>
    <w:p w:rsidR="00690961" w:rsidRPr="00944664" w:rsidRDefault="00690961" w:rsidP="00062154">
      <w:pPr>
        <w:rPr>
          <w:sz w:val="22"/>
          <w:szCs w:val="22"/>
        </w:rPr>
      </w:pPr>
    </w:p>
    <w:p w:rsidR="00B227C0" w:rsidRPr="00944664" w:rsidRDefault="00B227C0" w:rsidP="00062154">
      <w:pPr>
        <w:rPr>
          <w:b/>
          <w:sz w:val="22"/>
          <w:szCs w:val="22"/>
          <w:u w:val="single"/>
        </w:rPr>
      </w:pPr>
      <w:r w:rsidRPr="00944664">
        <w:rPr>
          <w:b/>
          <w:sz w:val="22"/>
          <w:szCs w:val="22"/>
          <w:u w:val="single"/>
        </w:rPr>
        <w:t xml:space="preserve">Section </w:t>
      </w:r>
      <w:r w:rsidR="009B06F4" w:rsidRPr="00944664">
        <w:rPr>
          <w:b/>
          <w:sz w:val="22"/>
          <w:szCs w:val="22"/>
          <w:u w:val="single"/>
        </w:rPr>
        <w:t>4</w:t>
      </w:r>
      <w:r w:rsidRPr="00944664">
        <w:rPr>
          <w:b/>
          <w:sz w:val="22"/>
          <w:szCs w:val="22"/>
          <w:u w:val="single"/>
        </w:rPr>
        <w:t xml:space="preserve"> </w:t>
      </w:r>
      <w:r w:rsidR="003F7F7C" w:rsidRPr="00944664">
        <w:rPr>
          <w:b/>
          <w:sz w:val="22"/>
          <w:szCs w:val="22"/>
          <w:u w:val="single"/>
        </w:rPr>
        <w:t>–</w:t>
      </w:r>
      <w:r w:rsidRPr="00944664">
        <w:rPr>
          <w:b/>
          <w:sz w:val="22"/>
          <w:szCs w:val="22"/>
          <w:u w:val="single"/>
        </w:rPr>
        <w:t xml:space="preserve"> </w:t>
      </w:r>
      <w:r w:rsidR="003F7F7C" w:rsidRPr="00944664">
        <w:rPr>
          <w:b/>
          <w:sz w:val="22"/>
          <w:szCs w:val="22"/>
          <w:u w:val="single"/>
        </w:rPr>
        <w:t>Requirement 1.2</w:t>
      </w:r>
      <w:r w:rsidR="004A361E" w:rsidRPr="00944664">
        <w:rPr>
          <w:rStyle w:val="FootnoteReference"/>
          <w:b/>
          <w:sz w:val="22"/>
          <w:szCs w:val="22"/>
          <w:u w:val="single"/>
          <w:vertAlign w:val="superscript"/>
        </w:rPr>
        <w:footnoteReference w:id="3"/>
      </w:r>
      <w:r w:rsidR="003F7F7C" w:rsidRPr="00944664">
        <w:rPr>
          <w:b/>
          <w:sz w:val="22"/>
          <w:szCs w:val="22"/>
          <w:u w:val="single"/>
        </w:rPr>
        <w:t xml:space="preserve"> (Procedure and Assumptions for Establishing CBM)</w:t>
      </w:r>
      <w:r w:rsidRPr="00944664">
        <w:rPr>
          <w:b/>
          <w:sz w:val="22"/>
          <w:szCs w:val="22"/>
          <w:u w:val="single"/>
        </w:rPr>
        <w:t>:</w:t>
      </w:r>
    </w:p>
    <w:p w:rsidR="007E20F4" w:rsidRPr="00944664" w:rsidRDefault="007E20F4" w:rsidP="00062154">
      <w:pPr>
        <w:rPr>
          <w:b/>
          <w:sz w:val="22"/>
          <w:szCs w:val="22"/>
        </w:rPr>
      </w:pPr>
    </w:p>
    <w:p w:rsidR="00080057" w:rsidRPr="00944664" w:rsidRDefault="00572A45" w:rsidP="00080057">
      <w:pPr>
        <w:ind w:left="720"/>
        <w:rPr>
          <w:b/>
          <w:sz w:val="22"/>
          <w:szCs w:val="22"/>
        </w:rPr>
      </w:pPr>
      <w:r w:rsidRPr="00944664">
        <w:rPr>
          <w:b/>
          <w:sz w:val="22"/>
          <w:szCs w:val="22"/>
        </w:rPr>
        <w:t xml:space="preserve">Upon receipt of a request from an LSE or Resource Planner, </w:t>
      </w:r>
      <w:r w:rsidR="00080057" w:rsidRPr="00944664">
        <w:rPr>
          <w:b/>
          <w:sz w:val="22"/>
          <w:szCs w:val="22"/>
        </w:rPr>
        <w:t xml:space="preserve">Avista shall process </w:t>
      </w:r>
      <w:r w:rsidRPr="00944664">
        <w:rPr>
          <w:b/>
          <w:sz w:val="22"/>
          <w:szCs w:val="22"/>
        </w:rPr>
        <w:t>requests for</w:t>
      </w:r>
      <w:r w:rsidR="00080057" w:rsidRPr="00944664">
        <w:rPr>
          <w:b/>
          <w:sz w:val="22"/>
          <w:szCs w:val="22"/>
        </w:rPr>
        <w:t xml:space="preserve"> CBM comparably, and will apply the following steps:</w:t>
      </w:r>
    </w:p>
    <w:p w:rsidR="00080057" w:rsidRPr="00944664" w:rsidRDefault="00080057" w:rsidP="00080057">
      <w:pPr>
        <w:rPr>
          <w:b/>
          <w:sz w:val="22"/>
          <w:szCs w:val="22"/>
        </w:rPr>
      </w:pPr>
    </w:p>
    <w:p w:rsidR="00080057" w:rsidRPr="00944664" w:rsidRDefault="00572A45" w:rsidP="00080057">
      <w:pPr>
        <w:pStyle w:val="ListParagraph"/>
        <w:numPr>
          <w:ilvl w:val="0"/>
          <w:numId w:val="40"/>
        </w:numPr>
        <w:rPr>
          <w:sz w:val="22"/>
          <w:szCs w:val="22"/>
        </w:rPr>
      </w:pPr>
      <w:r w:rsidRPr="00944664">
        <w:rPr>
          <w:sz w:val="22"/>
          <w:szCs w:val="22"/>
        </w:rPr>
        <w:t xml:space="preserve">Determine </w:t>
      </w:r>
      <w:r w:rsidR="0035122E">
        <w:rPr>
          <w:sz w:val="22"/>
          <w:szCs w:val="22"/>
        </w:rPr>
        <w:t>if</w:t>
      </w:r>
      <w:r w:rsidR="0035122E" w:rsidRPr="00944664">
        <w:rPr>
          <w:sz w:val="22"/>
          <w:szCs w:val="22"/>
        </w:rPr>
        <w:t xml:space="preserve"> </w:t>
      </w:r>
      <w:r w:rsidRPr="00944664">
        <w:rPr>
          <w:sz w:val="22"/>
          <w:szCs w:val="22"/>
        </w:rPr>
        <w:t>firm ATC is available on the path being requested for the two year period following the beginning date of the request</w:t>
      </w:r>
    </w:p>
    <w:p w:rsidR="00572A45" w:rsidRPr="00944664" w:rsidRDefault="00572A45" w:rsidP="00572A45">
      <w:pPr>
        <w:pStyle w:val="ListParagraph"/>
        <w:ind w:left="1080"/>
        <w:rPr>
          <w:sz w:val="22"/>
          <w:szCs w:val="22"/>
        </w:rPr>
      </w:pPr>
    </w:p>
    <w:p w:rsidR="00944664" w:rsidRPr="00944664" w:rsidRDefault="00944664" w:rsidP="00080057">
      <w:pPr>
        <w:pStyle w:val="ListParagraph"/>
        <w:numPr>
          <w:ilvl w:val="0"/>
          <w:numId w:val="40"/>
        </w:numPr>
        <w:rPr>
          <w:sz w:val="22"/>
          <w:szCs w:val="22"/>
        </w:rPr>
      </w:pPr>
      <w:r w:rsidRPr="00944664">
        <w:rPr>
          <w:sz w:val="22"/>
          <w:szCs w:val="22"/>
        </w:rPr>
        <w:t>Recommend alternative paths for CBM if requested path is unavailable</w:t>
      </w:r>
    </w:p>
    <w:p w:rsidR="00944664" w:rsidRPr="00944664" w:rsidRDefault="00944664" w:rsidP="00944664">
      <w:pPr>
        <w:pStyle w:val="ListParagraph"/>
        <w:rPr>
          <w:sz w:val="22"/>
          <w:szCs w:val="22"/>
        </w:rPr>
      </w:pPr>
    </w:p>
    <w:p w:rsidR="00572A45" w:rsidRPr="00944664" w:rsidRDefault="00572A45" w:rsidP="00080057">
      <w:pPr>
        <w:pStyle w:val="ListParagraph"/>
        <w:numPr>
          <w:ilvl w:val="0"/>
          <w:numId w:val="40"/>
        </w:numPr>
        <w:rPr>
          <w:sz w:val="22"/>
          <w:szCs w:val="22"/>
        </w:rPr>
      </w:pPr>
      <w:r w:rsidRPr="00944664">
        <w:rPr>
          <w:sz w:val="22"/>
          <w:szCs w:val="22"/>
        </w:rPr>
        <w:t xml:space="preserve">Ensure that the capacity being requested has been developed using the methodology in MOD-004, R3 or R4.  </w:t>
      </w:r>
    </w:p>
    <w:p w:rsidR="00572A45" w:rsidRPr="00944664" w:rsidRDefault="00572A45" w:rsidP="00572A45">
      <w:pPr>
        <w:pStyle w:val="ListParagraph"/>
        <w:rPr>
          <w:sz w:val="22"/>
          <w:szCs w:val="22"/>
        </w:rPr>
      </w:pPr>
    </w:p>
    <w:p w:rsidR="00572A45" w:rsidRPr="00944664" w:rsidRDefault="00944664" w:rsidP="00080057">
      <w:pPr>
        <w:pStyle w:val="ListParagraph"/>
        <w:numPr>
          <w:ilvl w:val="0"/>
          <w:numId w:val="40"/>
        </w:numPr>
        <w:rPr>
          <w:sz w:val="22"/>
          <w:szCs w:val="22"/>
        </w:rPr>
      </w:pPr>
      <w:r w:rsidRPr="00944664">
        <w:rPr>
          <w:sz w:val="22"/>
          <w:szCs w:val="22"/>
        </w:rPr>
        <w:t>Review availability of CBM on a two year basis, beginning concurrently with the requested CBM service date</w:t>
      </w:r>
    </w:p>
    <w:p w:rsidR="00080057" w:rsidRPr="00944664" w:rsidRDefault="00080057" w:rsidP="00080057">
      <w:pPr>
        <w:pStyle w:val="ListParagraph"/>
        <w:ind w:left="1080"/>
        <w:rPr>
          <w:sz w:val="22"/>
          <w:szCs w:val="22"/>
        </w:rPr>
      </w:pPr>
    </w:p>
    <w:p w:rsidR="00C81229" w:rsidRPr="00944664" w:rsidRDefault="00C81229" w:rsidP="00062154">
      <w:pPr>
        <w:rPr>
          <w:b/>
          <w:sz w:val="22"/>
          <w:szCs w:val="22"/>
        </w:rPr>
      </w:pPr>
    </w:p>
    <w:p w:rsidR="00C81229" w:rsidRPr="00944664" w:rsidRDefault="00C81229" w:rsidP="00C81229">
      <w:pPr>
        <w:rPr>
          <w:b/>
          <w:sz w:val="22"/>
          <w:szCs w:val="22"/>
          <w:u w:val="single"/>
        </w:rPr>
      </w:pPr>
      <w:r w:rsidRPr="00944664">
        <w:rPr>
          <w:b/>
          <w:sz w:val="22"/>
          <w:szCs w:val="22"/>
          <w:u w:val="single"/>
        </w:rPr>
        <w:t xml:space="preserve">Section 5 </w:t>
      </w:r>
      <w:r w:rsidR="003F7F7C" w:rsidRPr="00944664">
        <w:rPr>
          <w:b/>
          <w:sz w:val="22"/>
          <w:szCs w:val="22"/>
          <w:u w:val="single"/>
        </w:rPr>
        <w:t>–</w:t>
      </w:r>
      <w:r w:rsidRPr="00944664">
        <w:rPr>
          <w:b/>
          <w:sz w:val="22"/>
          <w:szCs w:val="22"/>
          <w:u w:val="single"/>
        </w:rPr>
        <w:t xml:space="preserve"> </w:t>
      </w:r>
      <w:r w:rsidR="003F7F7C" w:rsidRPr="00944664">
        <w:rPr>
          <w:b/>
          <w:sz w:val="22"/>
          <w:szCs w:val="22"/>
          <w:u w:val="single"/>
        </w:rPr>
        <w:t>Requirement 1.3</w:t>
      </w:r>
      <w:r w:rsidR="004A361E" w:rsidRPr="00944664">
        <w:rPr>
          <w:rStyle w:val="FootnoteReference"/>
          <w:b/>
          <w:sz w:val="22"/>
          <w:szCs w:val="22"/>
          <w:u w:val="single"/>
          <w:vertAlign w:val="superscript"/>
        </w:rPr>
        <w:footnoteReference w:id="4"/>
      </w:r>
      <w:r w:rsidR="003F7F7C" w:rsidRPr="00944664">
        <w:rPr>
          <w:b/>
          <w:sz w:val="22"/>
          <w:szCs w:val="22"/>
          <w:u w:val="single"/>
          <w:vertAlign w:val="superscript"/>
        </w:rPr>
        <w:t xml:space="preserve"> </w:t>
      </w:r>
      <w:r w:rsidR="003F7F7C" w:rsidRPr="00944664">
        <w:rPr>
          <w:b/>
          <w:sz w:val="22"/>
          <w:szCs w:val="22"/>
          <w:u w:val="single"/>
        </w:rPr>
        <w:t>(Procedure for LSE or BA to use CBM)</w:t>
      </w:r>
      <w:r w:rsidRPr="00944664">
        <w:rPr>
          <w:b/>
          <w:sz w:val="22"/>
          <w:szCs w:val="22"/>
          <w:u w:val="single"/>
        </w:rPr>
        <w:t>:</w:t>
      </w:r>
    </w:p>
    <w:p w:rsidR="00717AB8" w:rsidRPr="00944664" w:rsidRDefault="00717AB8" w:rsidP="00BA1B9F">
      <w:pPr>
        <w:ind w:left="720"/>
        <w:rPr>
          <w:b/>
          <w:snapToGrid w:val="0"/>
          <w:sz w:val="22"/>
          <w:szCs w:val="22"/>
          <w:u w:val="single"/>
        </w:rPr>
      </w:pPr>
    </w:p>
    <w:p w:rsidR="001424B7" w:rsidRPr="00944664" w:rsidRDefault="001424B7" w:rsidP="001424B7">
      <w:pPr>
        <w:pStyle w:val="Requirement"/>
        <w:tabs>
          <w:tab w:val="num" w:pos="1620"/>
          <w:tab w:val="num" w:pos="1728"/>
          <w:tab w:val="left" w:pos="2592"/>
          <w:tab w:val="left" w:pos="3240"/>
        </w:tabs>
        <w:autoSpaceDE/>
        <w:autoSpaceDN/>
        <w:adjustRightInd/>
        <w:spacing w:after="120"/>
        <w:ind w:left="720"/>
        <w:rPr>
          <w:sz w:val="22"/>
          <w:szCs w:val="22"/>
        </w:rPr>
      </w:pPr>
      <w:r w:rsidRPr="00944664">
        <w:rPr>
          <w:sz w:val="22"/>
          <w:szCs w:val="22"/>
        </w:rPr>
        <w:t xml:space="preserve">Avista documents its procedures for using CBM in Avista Corporation’s Capacity Benefit Margin Business Practice (currently Version </w:t>
      </w:r>
      <w:r w:rsidR="00CE184C">
        <w:rPr>
          <w:sz w:val="22"/>
          <w:szCs w:val="22"/>
        </w:rPr>
        <w:t>8</w:t>
      </w:r>
      <w:r w:rsidRPr="00944664">
        <w:rPr>
          <w:sz w:val="22"/>
          <w:szCs w:val="22"/>
        </w:rPr>
        <w:t>, posted on OASIS)</w:t>
      </w:r>
    </w:p>
    <w:p w:rsidR="001424B7" w:rsidRPr="00944664" w:rsidRDefault="001424B7" w:rsidP="00C0522C">
      <w:pPr>
        <w:ind w:left="720" w:hanging="720"/>
        <w:rPr>
          <w:snapToGrid w:val="0"/>
          <w:sz w:val="22"/>
          <w:szCs w:val="22"/>
          <w:u w:val="single"/>
        </w:rPr>
      </w:pPr>
    </w:p>
    <w:p w:rsidR="001424B7" w:rsidRPr="00944664" w:rsidRDefault="001424B7" w:rsidP="001424B7">
      <w:pPr>
        <w:pStyle w:val="Requirement"/>
        <w:tabs>
          <w:tab w:val="num" w:pos="1620"/>
          <w:tab w:val="num" w:pos="1728"/>
          <w:tab w:val="left" w:pos="2592"/>
          <w:tab w:val="left" w:pos="3240"/>
        </w:tabs>
        <w:autoSpaceDE/>
        <w:autoSpaceDN/>
        <w:adjustRightInd/>
        <w:spacing w:after="120"/>
        <w:ind w:left="720"/>
        <w:rPr>
          <w:sz w:val="22"/>
          <w:szCs w:val="22"/>
        </w:rPr>
      </w:pPr>
      <w:r w:rsidRPr="00944664">
        <w:rPr>
          <w:sz w:val="22"/>
          <w:szCs w:val="22"/>
        </w:rPr>
        <w:t xml:space="preserve">Avista documents the use of CBM as outlines in Avista Corporation’s Capacity Benefit Margin Business Practice (currently Version </w:t>
      </w:r>
      <w:r w:rsidR="00CE184C">
        <w:rPr>
          <w:sz w:val="22"/>
          <w:szCs w:val="22"/>
        </w:rPr>
        <w:t>8</w:t>
      </w:r>
      <w:r w:rsidRPr="00944664">
        <w:rPr>
          <w:sz w:val="22"/>
          <w:szCs w:val="22"/>
        </w:rPr>
        <w:t>, posted on OASIS)</w:t>
      </w:r>
    </w:p>
    <w:p w:rsidR="001424B7" w:rsidRPr="00944664" w:rsidRDefault="001424B7">
      <w:pPr>
        <w:rPr>
          <w:b/>
          <w:snapToGrid w:val="0"/>
          <w:sz w:val="22"/>
          <w:szCs w:val="22"/>
          <w:u w:val="single"/>
        </w:rPr>
      </w:pPr>
      <w:r w:rsidRPr="00944664">
        <w:rPr>
          <w:b/>
          <w:snapToGrid w:val="0"/>
          <w:sz w:val="22"/>
          <w:szCs w:val="22"/>
          <w:u w:val="single"/>
        </w:rPr>
        <w:br w:type="page"/>
      </w:r>
    </w:p>
    <w:p w:rsidR="00C0522C" w:rsidRPr="00944664" w:rsidRDefault="00C0522C" w:rsidP="00C0522C">
      <w:pPr>
        <w:ind w:left="720" w:hanging="720"/>
        <w:rPr>
          <w:b/>
          <w:snapToGrid w:val="0"/>
          <w:sz w:val="22"/>
          <w:szCs w:val="22"/>
          <w:u w:val="single"/>
        </w:rPr>
      </w:pPr>
      <w:r w:rsidRPr="00944664">
        <w:rPr>
          <w:b/>
          <w:snapToGrid w:val="0"/>
          <w:sz w:val="22"/>
          <w:szCs w:val="22"/>
          <w:u w:val="single"/>
        </w:rPr>
        <w:lastRenderedPageBreak/>
        <w:t>Section 6 –</w:t>
      </w:r>
      <w:r w:rsidR="00AF65BB">
        <w:rPr>
          <w:b/>
          <w:snapToGrid w:val="0"/>
          <w:sz w:val="22"/>
          <w:szCs w:val="22"/>
          <w:u w:val="single"/>
        </w:rPr>
        <w:t xml:space="preserve"> Requirement 2 (</w:t>
      </w:r>
      <w:r w:rsidR="00364AF4" w:rsidRPr="00944664">
        <w:rPr>
          <w:b/>
          <w:snapToGrid w:val="0"/>
          <w:sz w:val="22"/>
          <w:szCs w:val="22"/>
          <w:u w:val="single"/>
        </w:rPr>
        <w:t>CBMID</w:t>
      </w:r>
      <w:r w:rsidR="00CE184C">
        <w:rPr>
          <w:b/>
          <w:snapToGrid w:val="0"/>
          <w:sz w:val="22"/>
          <w:szCs w:val="22"/>
          <w:u w:val="single"/>
        </w:rPr>
        <w:t xml:space="preserve"> Availability</w:t>
      </w:r>
      <w:r w:rsidR="00AF65BB">
        <w:rPr>
          <w:b/>
          <w:snapToGrid w:val="0"/>
          <w:sz w:val="22"/>
          <w:szCs w:val="22"/>
          <w:u w:val="single"/>
        </w:rPr>
        <w:t>)</w:t>
      </w:r>
    </w:p>
    <w:p w:rsidR="00AB68BF" w:rsidRPr="00944664" w:rsidRDefault="00AB68BF" w:rsidP="00AB68BF">
      <w:pPr>
        <w:rPr>
          <w:snapToGrid w:val="0"/>
          <w:sz w:val="22"/>
          <w:szCs w:val="22"/>
        </w:rPr>
      </w:pPr>
    </w:p>
    <w:p w:rsidR="00AB68BF" w:rsidRPr="00944664" w:rsidRDefault="00AB68BF" w:rsidP="00182E03">
      <w:pPr>
        <w:rPr>
          <w:b/>
          <w:snapToGrid w:val="0"/>
          <w:sz w:val="22"/>
          <w:szCs w:val="22"/>
        </w:rPr>
      </w:pPr>
      <w:r w:rsidRPr="00944664">
        <w:rPr>
          <w:b/>
          <w:snapToGrid w:val="0"/>
          <w:sz w:val="22"/>
          <w:szCs w:val="22"/>
        </w:rPr>
        <w:tab/>
        <w:t>6.</w:t>
      </w:r>
      <w:r w:rsidR="00CE184C">
        <w:rPr>
          <w:b/>
          <w:snapToGrid w:val="0"/>
          <w:sz w:val="22"/>
          <w:szCs w:val="22"/>
        </w:rPr>
        <w:t>1</w:t>
      </w:r>
      <w:r w:rsidRPr="00944664">
        <w:rPr>
          <w:b/>
          <w:snapToGrid w:val="0"/>
          <w:sz w:val="22"/>
          <w:szCs w:val="22"/>
        </w:rPr>
        <w:tab/>
        <w:t xml:space="preserve">Availability of </w:t>
      </w:r>
      <w:r w:rsidR="00364AF4" w:rsidRPr="00944664">
        <w:rPr>
          <w:b/>
          <w:snapToGrid w:val="0"/>
          <w:sz w:val="22"/>
          <w:szCs w:val="22"/>
        </w:rPr>
        <w:t>CBMID</w:t>
      </w:r>
      <w:r w:rsidRPr="00944664">
        <w:rPr>
          <w:b/>
          <w:snapToGrid w:val="0"/>
          <w:sz w:val="22"/>
          <w:szCs w:val="22"/>
        </w:rPr>
        <w:t xml:space="preserve"> to Parties</w:t>
      </w:r>
    </w:p>
    <w:p w:rsidR="00DA6451" w:rsidRDefault="00446311">
      <w:pPr>
        <w:ind w:left="1440"/>
        <w:rPr>
          <w:snapToGrid w:val="0"/>
          <w:sz w:val="22"/>
          <w:szCs w:val="22"/>
        </w:rPr>
      </w:pPr>
      <w:r w:rsidRPr="00944664">
        <w:rPr>
          <w:snapToGrid w:val="0"/>
          <w:sz w:val="22"/>
          <w:szCs w:val="22"/>
        </w:rPr>
        <w:t xml:space="preserve">Avista will maintain a current copy of its </w:t>
      </w:r>
      <w:r w:rsidR="00364AF4" w:rsidRPr="00944664">
        <w:rPr>
          <w:snapToGrid w:val="0"/>
          <w:sz w:val="22"/>
          <w:szCs w:val="22"/>
        </w:rPr>
        <w:t xml:space="preserve">CBMID </w:t>
      </w:r>
      <w:r w:rsidRPr="00944664">
        <w:rPr>
          <w:snapToGrid w:val="0"/>
          <w:sz w:val="22"/>
          <w:szCs w:val="22"/>
        </w:rPr>
        <w:t xml:space="preserve">on its OASIS site.  Additionally, Avista will supply an electronic copy to </w:t>
      </w:r>
      <w:r w:rsidR="00D706DF">
        <w:rPr>
          <w:snapToGrid w:val="0"/>
          <w:sz w:val="22"/>
          <w:szCs w:val="22"/>
        </w:rPr>
        <w:t>the applicable entities</w:t>
      </w:r>
      <w:r w:rsidR="00D706DF" w:rsidRPr="00944664">
        <w:rPr>
          <w:snapToGrid w:val="0"/>
          <w:sz w:val="22"/>
          <w:szCs w:val="22"/>
        </w:rPr>
        <w:t xml:space="preserve"> </w:t>
      </w:r>
      <w:r w:rsidRPr="00944664">
        <w:rPr>
          <w:snapToGrid w:val="0"/>
          <w:sz w:val="22"/>
          <w:szCs w:val="22"/>
        </w:rPr>
        <w:t xml:space="preserve">listed in requirement </w:t>
      </w:r>
      <w:r w:rsidR="00F2677C" w:rsidRPr="00944664">
        <w:rPr>
          <w:snapToGrid w:val="0"/>
          <w:sz w:val="22"/>
          <w:szCs w:val="22"/>
        </w:rPr>
        <w:t>R2</w:t>
      </w:r>
      <w:r w:rsidRPr="00944664">
        <w:rPr>
          <w:snapToGrid w:val="0"/>
          <w:sz w:val="22"/>
          <w:szCs w:val="22"/>
        </w:rPr>
        <w:t xml:space="preserve"> on or before the effective date </w:t>
      </w:r>
      <w:r w:rsidR="00AF65BB">
        <w:rPr>
          <w:snapToGrid w:val="0"/>
          <w:sz w:val="22"/>
          <w:szCs w:val="22"/>
        </w:rPr>
        <w:t xml:space="preserve">of </w:t>
      </w:r>
      <w:r w:rsidR="00D706DF">
        <w:rPr>
          <w:snapToGrid w:val="0"/>
          <w:sz w:val="22"/>
          <w:szCs w:val="22"/>
        </w:rPr>
        <w:t xml:space="preserve">any </w:t>
      </w:r>
      <w:r w:rsidR="00AF65BB">
        <w:rPr>
          <w:snapToGrid w:val="0"/>
          <w:sz w:val="22"/>
          <w:szCs w:val="22"/>
        </w:rPr>
        <w:t>change of the CBMID</w:t>
      </w:r>
      <w:r w:rsidRPr="00944664">
        <w:rPr>
          <w:snapToGrid w:val="0"/>
          <w:sz w:val="22"/>
          <w:szCs w:val="22"/>
        </w:rPr>
        <w:t xml:space="preserve">.  Notification </w:t>
      </w:r>
      <w:r w:rsidR="00D706DF">
        <w:rPr>
          <w:snapToGrid w:val="0"/>
          <w:sz w:val="22"/>
          <w:szCs w:val="22"/>
        </w:rPr>
        <w:t xml:space="preserve">will be posted on OASIS </w:t>
      </w:r>
      <w:r w:rsidRPr="00944664">
        <w:rPr>
          <w:snapToGrid w:val="0"/>
          <w:sz w:val="22"/>
          <w:szCs w:val="22"/>
        </w:rPr>
        <w:t xml:space="preserve">will be made via email to the manager of each party’s compliance department, or other similarly positioned employee.   </w:t>
      </w:r>
    </w:p>
    <w:p w:rsidR="00373D5C" w:rsidRDefault="00373D5C" w:rsidP="00373D5C">
      <w:pPr>
        <w:rPr>
          <w:snapToGrid w:val="0"/>
          <w:sz w:val="22"/>
          <w:szCs w:val="22"/>
        </w:rPr>
      </w:pPr>
    </w:p>
    <w:p w:rsidR="00CE184C" w:rsidRPr="00182E03" w:rsidRDefault="00CE184C" w:rsidP="00CE184C">
      <w:pPr>
        <w:rPr>
          <w:b/>
          <w:sz w:val="22"/>
          <w:szCs w:val="22"/>
          <w:u w:val="single"/>
        </w:rPr>
      </w:pPr>
      <w:r w:rsidRPr="00182E03">
        <w:rPr>
          <w:b/>
          <w:sz w:val="22"/>
          <w:szCs w:val="22"/>
          <w:u w:val="single"/>
        </w:rPr>
        <w:t>Section 7 – Requirement 5</w:t>
      </w:r>
      <w:r w:rsidR="006E3BEF" w:rsidRPr="00182E03">
        <w:rPr>
          <w:b/>
          <w:sz w:val="22"/>
          <w:szCs w:val="22"/>
          <w:u w:val="single"/>
        </w:rPr>
        <w:t xml:space="preserve"> </w:t>
      </w:r>
      <w:r w:rsidR="00D706DF" w:rsidRPr="00182E03">
        <w:rPr>
          <w:b/>
          <w:sz w:val="22"/>
          <w:szCs w:val="22"/>
          <w:u w:val="single"/>
        </w:rPr>
        <w:t>(</w:t>
      </w:r>
      <w:r w:rsidR="005C3A16" w:rsidRPr="00182E03">
        <w:rPr>
          <w:b/>
          <w:sz w:val="22"/>
          <w:szCs w:val="22"/>
          <w:u w:val="single"/>
        </w:rPr>
        <w:t>Maintenance of an Established CBM value)</w:t>
      </w:r>
    </w:p>
    <w:p w:rsidR="00182E03" w:rsidRDefault="00182E03" w:rsidP="00373D5C">
      <w:pPr>
        <w:ind w:firstLine="720"/>
        <w:rPr>
          <w:sz w:val="22"/>
          <w:szCs w:val="22"/>
        </w:rPr>
      </w:pPr>
    </w:p>
    <w:p w:rsidR="00373D5C" w:rsidRDefault="00CE184C" w:rsidP="00373D5C">
      <w:pPr>
        <w:ind w:firstLine="720"/>
        <w:rPr>
          <w:sz w:val="22"/>
          <w:szCs w:val="22"/>
        </w:rPr>
      </w:pPr>
      <w:r>
        <w:rPr>
          <w:sz w:val="22"/>
          <w:szCs w:val="22"/>
        </w:rPr>
        <w:t xml:space="preserve">Avista does not maintain a CBM value, and therefore does not establish a new CBM value at least once every 13 months.  </w:t>
      </w:r>
    </w:p>
    <w:p w:rsidR="00373D5C" w:rsidRPr="00373D5C" w:rsidRDefault="00373D5C" w:rsidP="00373D5C">
      <w:pPr>
        <w:rPr>
          <w:sz w:val="22"/>
          <w:szCs w:val="22"/>
        </w:rPr>
      </w:pPr>
    </w:p>
    <w:p w:rsidR="00CE184C" w:rsidRPr="00182E03" w:rsidRDefault="00CE184C" w:rsidP="00CE184C">
      <w:pPr>
        <w:rPr>
          <w:b/>
          <w:sz w:val="22"/>
          <w:szCs w:val="22"/>
          <w:u w:val="single"/>
        </w:rPr>
      </w:pPr>
      <w:r w:rsidRPr="00182E03">
        <w:rPr>
          <w:b/>
          <w:sz w:val="22"/>
          <w:szCs w:val="22"/>
          <w:u w:val="single"/>
        </w:rPr>
        <w:t xml:space="preserve">Section 8 – Requirement </w:t>
      </w:r>
      <w:r w:rsidR="005C3A16" w:rsidRPr="00182E03">
        <w:rPr>
          <w:b/>
          <w:sz w:val="22"/>
          <w:szCs w:val="22"/>
          <w:u w:val="single"/>
        </w:rPr>
        <w:t>6 (Establishment of a new CBM value for the planning period)</w:t>
      </w:r>
    </w:p>
    <w:p w:rsidR="00CE184C" w:rsidRPr="00CE184C" w:rsidRDefault="00CE184C" w:rsidP="00CE184C">
      <w:pPr>
        <w:rPr>
          <w:b/>
          <w:sz w:val="22"/>
          <w:szCs w:val="22"/>
          <w:u w:val="single"/>
        </w:rPr>
      </w:pPr>
    </w:p>
    <w:p w:rsidR="00373D5C" w:rsidRPr="00182E03" w:rsidRDefault="00CE184C" w:rsidP="00373D5C">
      <w:pPr>
        <w:ind w:left="720"/>
        <w:rPr>
          <w:sz w:val="22"/>
          <w:szCs w:val="22"/>
        </w:rPr>
      </w:pPr>
      <w:r w:rsidRPr="00182E03">
        <w:rPr>
          <w:sz w:val="22"/>
          <w:szCs w:val="22"/>
        </w:rPr>
        <w:t xml:space="preserve">Avista has received no request for CBM to date, and will not establish a CBM value until it has received such a request from an LSE or Resource Planner within the Avista Balancing Authority </w:t>
      </w:r>
      <w:r w:rsidR="006E3BEF" w:rsidRPr="00182E03">
        <w:rPr>
          <w:sz w:val="22"/>
          <w:szCs w:val="22"/>
        </w:rPr>
        <w:t xml:space="preserve">Area </w:t>
      </w:r>
      <w:r w:rsidRPr="00182E03">
        <w:rPr>
          <w:sz w:val="22"/>
          <w:szCs w:val="22"/>
        </w:rPr>
        <w:t>under the process outlined above.  Once such request has been made, this CBMID will be revised and a new CBM value will be established</w:t>
      </w:r>
      <w:r w:rsidR="005C3A16" w:rsidRPr="00182E03">
        <w:rPr>
          <w:sz w:val="22"/>
          <w:szCs w:val="22"/>
        </w:rPr>
        <w:t xml:space="preserve"> for the required period</w:t>
      </w:r>
      <w:r w:rsidRPr="00182E03">
        <w:rPr>
          <w:sz w:val="22"/>
          <w:szCs w:val="22"/>
        </w:rPr>
        <w:t xml:space="preserve">.  </w:t>
      </w:r>
    </w:p>
    <w:p w:rsidR="006D3E53" w:rsidRDefault="006D3E53">
      <w:pPr>
        <w:rPr>
          <w:sz w:val="22"/>
          <w:szCs w:val="22"/>
          <w:u w:val="single"/>
        </w:rPr>
      </w:pPr>
    </w:p>
    <w:sectPr w:rsidR="006D3E53" w:rsidSect="00D459D3">
      <w:footerReference w:type="default" r:id="rId12"/>
      <w:pgSz w:w="15840" w:h="12240" w:orient="landscape"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53" w:rsidRDefault="006D3E53" w:rsidP="00E302D4">
      <w:r>
        <w:separator/>
      </w:r>
    </w:p>
  </w:endnote>
  <w:endnote w:type="continuationSeparator" w:id="0">
    <w:p w:rsidR="006D3E53" w:rsidRDefault="006D3E53" w:rsidP="00E30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56636376"/>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rsidR="00080057" w:rsidRPr="00F26444" w:rsidRDefault="00080057" w:rsidP="00E302D4">
            <w:pPr>
              <w:pStyle w:val="Footer"/>
              <w:jc w:val="right"/>
              <w:rPr>
                <w:rFonts w:ascii="Arial" w:hAnsi="Arial" w:cs="Arial"/>
                <w:sz w:val="20"/>
                <w:szCs w:val="20"/>
              </w:rPr>
            </w:pPr>
            <w:r w:rsidRPr="00F26444">
              <w:rPr>
                <w:rFonts w:ascii="Arial" w:hAnsi="Arial" w:cs="Arial"/>
                <w:sz w:val="20"/>
                <w:szCs w:val="20"/>
              </w:rPr>
              <w:t xml:space="preserve">Page </w:t>
            </w:r>
            <w:r w:rsidR="00373D5C" w:rsidRPr="00F26444">
              <w:rPr>
                <w:rFonts w:ascii="Arial" w:hAnsi="Arial" w:cs="Arial"/>
                <w:sz w:val="20"/>
                <w:szCs w:val="20"/>
              </w:rPr>
              <w:fldChar w:fldCharType="begin"/>
            </w:r>
            <w:r w:rsidRPr="00F26444">
              <w:rPr>
                <w:rFonts w:ascii="Arial" w:hAnsi="Arial" w:cs="Arial"/>
                <w:sz w:val="20"/>
                <w:szCs w:val="20"/>
              </w:rPr>
              <w:instrText xml:space="preserve"> PAGE </w:instrText>
            </w:r>
            <w:r w:rsidR="00373D5C" w:rsidRPr="00F26444">
              <w:rPr>
                <w:rFonts w:ascii="Arial" w:hAnsi="Arial" w:cs="Arial"/>
                <w:sz w:val="20"/>
                <w:szCs w:val="20"/>
              </w:rPr>
              <w:fldChar w:fldCharType="separate"/>
            </w:r>
            <w:r w:rsidR="00182E03">
              <w:rPr>
                <w:rFonts w:ascii="Arial" w:hAnsi="Arial" w:cs="Arial"/>
                <w:noProof/>
                <w:sz w:val="20"/>
                <w:szCs w:val="20"/>
              </w:rPr>
              <w:t>1</w:t>
            </w:r>
            <w:r w:rsidR="00373D5C" w:rsidRPr="00F26444">
              <w:rPr>
                <w:rFonts w:ascii="Arial" w:hAnsi="Arial" w:cs="Arial"/>
                <w:sz w:val="20"/>
                <w:szCs w:val="20"/>
              </w:rPr>
              <w:fldChar w:fldCharType="end"/>
            </w:r>
            <w:r w:rsidRPr="00F26444">
              <w:rPr>
                <w:rFonts w:ascii="Arial" w:hAnsi="Arial" w:cs="Arial"/>
                <w:sz w:val="20"/>
                <w:szCs w:val="20"/>
              </w:rPr>
              <w:t xml:space="preserve"> of </w:t>
            </w:r>
            <w:r w:rsidR="00373D5C" w:rsidRPr="00F26444">
              <w:rPr>
                <w:rFonts w:ascii="Arial" w:hAnsi="Arial" w:cs="Arial"/>
                <w:sz w:val="20"/>
                <w:szCs w:val="20"/>
              </w:rPr>
              <w:fldChar w:fldCharType="begin"/>
            </w:r>
            <w:r w:rsidRPr="00F26444">
              <w:rPr>
                <w:rFonts w:ascii="Arial" w:hAnsi="Arial" w:cs="Arial"/>
                <w:sz w:val="20"/>
                <w:szCs w:val="20"/>
              </w:rPr>
              <w:instrText xml:space="preserve"> NUMPAGES  </w:instrText>
            </w:r>
            <w:r w:rsidR="00373D5C" w:rsidRPr="00F26444">
              <w:rPr>
                <w:rFonts w:ascii="Arial" w:hAnsi="Arial" w:cs="Arial"/>
                <w:sz w:val="20"/>
                <w:szCs w:val="20"/>
              </w:rPr>
              <w:fldChar w:fldCharType="separate"/>
            </w:r>
            <w:r w:rsidR="00182E03">
              <w:rPr>
                <w:rFonts w:ascii="Arial" w:hAnsi="Arial" w:cs="Arial"/>
                <w:noProof/>
                <w:sz w:val="20"/>
                <w:szCs w:val="20"/>
              </w:rPr>
              <w:t>4</w:t>
            </w:r>
            <w:r w:rsidR="00373D5C" w:rsidRPr="00F26444">
              <w:rPr>
                <w:rFonts w:ascii="Arial" w:hAnsi="Arial" w:cs="Arial"/>
                <w:sz w:val="20"/>
                <w:szCs w:val="20"/>
              </w:rPr>
              <w:fldChar w:fldCharType="end"/>
            </w:r>
          </w:p>
        </w:sdtContent>
      </w:sdt>
    </w:sdtContent>
  </w:sdt>
  <w:p w:rsidR="00080057" w:rsidRDefault="00080057" w:rsidP="00E302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53" w:rsidRDefault="006D3E53" w:rsidP="00E302D4">
      <w:r>
        <w:separator/>
      </w:r>
    </w:p>
  </w:footnote>
  <w:footnote w:type="continuationSeparator" w:id="0">
    <w:p w:rsidR="006D3E53" w:rsidRDefault="006D3E53" w:rsidP="00E302D4">
      <w:r>
        <w:continuationSeparator/>
      </w:r>
    </w:p>
  </w:footnote>
  <w:footnote w:id="1">
    <w:p w:rsidR="00080057" w:rsidRDefault="00080057">
      <w:pPr>
        <w:pStyle w:val="FootnoteText"/>
      </w:pPr>
      <w:r w:rsidRPr="00832B52">
        <w:rPr>
          <w:rStyle w:val="FootnoteReference"/>
          <w:vertAlign w:val="superscript"/>
        </w:rPr>
        <w:footnoteRef/>
      </w:r>
      <w:r>
        <w:t xml:space="preserve"> “The process through which a Load-Serving</w:t>
      </w:r>
      <w:r w:rsidRPr="004B00F2">
        <w:t xml:space="preserve"> Entit</w:t>
      </w:r>
      <w:r>
        <w:t xml:space="preserve">y </w:t>
      </w:r>
      <w:r w:rsidRPr="004B00F2">
        <w:t>within a Balancing Authority</w:t>
      </w:r>
      <w:r>
        <w:t xml:space="preserve"> Area</w:t>
      </w:r>
      <w:r w:rsidRPr="004B00F2">
        <w:t xml:space="preserve"> associated </w:t>
      </w:r>
      <w:r w:rsidRPr="00271739">
        <w:t xml:space="preserve">with the Transmission Service Provider, or </w:t>
      </w:r>
      <w:r>
        <w:t xml:space="preserve">the </w:t>
      </w:r>
      <w:r w:rsidRPr="00271739">
        <w:t>Resource Planner</w:t>
      </w:r>
      <w:r>
        <w:t xml:space="preserve"> associated with that Balancing Authority Area</w:t>
      </w:r>
      <w:r w:rsidRPr="00271739">
        <w:t xml:space="preserve">, may ensure that its need for </w:t>
      </w:r>
      <w:r>
        <w:t>T</w:t>
      </w:r>
      <w:r w:rsidRPr="00271739">
        <w:t xml:space="preserve">ransmission capacity to be set aside as CBM will be reviewed and accommodated by the Transmission Service Provider to the extent </w:t>
      </w:r>
      <w:r>
        <w:t>T</w:t>
      </w:r>
      <w:r w:rsidRPr="00271739">
        <w:t>ransmission capacity is available.</w:t>
      </w:r>
      <w:r>
        <w:t>”</w:t>
      </w:r>
    </w:p>
  </w:footnote>
  <w:footnote w:id="2">
    <w:p w:rsidR="008A4979" w:rsidRDefault="008A4979">
      <w:pPr>
        <w:pStyle w:val="FootnoteText"/>
      </w:pPr>
      <w:r w:rsidRPr="008A4979">
        <w:rPr>
          <w:rStyle w:val="FootnoteReference"/>
          <w:vertAlign w:val="superscript"/>
        </w:rPr>
        <w:footnoteRef/>
      </w:r>
      <w:r>
        <w:t xml:space="preserve"> Per MOD-004, R7</w:t>
      </w:r>
    </w:p>
  </w:footnote>
  <w:footnote w:id="3">
    <w:p w:rsidR="00080057" w:rsidRDefault="00080057">
      <w:pPr>
        <w:pStyle w:val="FootnoteText"/>
      </w:pPr>
      <w:r w:rsidRPr="00832B52">
        <w:rPr>
          <w:rStyle w:val="FootnoteReference"/>
          <w:vertAlign w:val="superscript"/>
        </w:rPr>
        <w:footnoteRef/>
      </w:r>
      <w:r w:rsidRPr="00832B52">
        <w:rPr>
          <w:vertAlign w:val="superscript"/>
        </w:rPr>
        <w:t xml:space="preserve"> </w:t>
      </w:r>
      <w:proofErr w:type="gramStart"/>
      <w:r>
        <w:t>“</w:t>
      </w:r>
      <w:r w:rsidRPr="00271739">
        <w:t xml:space="preserve">The procedure and assumptions for </w:t>
      </w:r>
      <w:r>
        <w:t>establishing</w:t>
      </w:r>
      <w:r w:rsidRPr="00271739">
        <w:t xml:space="preserve"> CBM for each A</w:t>
      </w:r>
      <w:r>
        <w:t>vailable Transfer Capability (A</w:t>
      </w:r>
      <w:r w:rsidRPr="00271739">
        <w:t>TC</w:t>
      </w:r>
      <w:r>
        <w:t>)</w:t>
      </w:r>
      <w:r w:rsidRPr="00271739">
        <w:t xml:space="preserve"> Path or </w:t>
      </w:r>
      <w:proofErr w:type="spellStart"/>
      <w:r w:rsidRPr="00271739">
        <w:t>Flowgate</w:t>
      </w:r>
      <w:proofErr w:type="spellEnd"/>
      <w:r w:rsidRPr="00271739">
        <w:t>.</w:t>
      </w:r>
      <w:r>
        <w:t>”</w:t>
      </w:r>
      <w:proofErr w:type="gramEnd"/>
    </w:p>
  </w:footnote>
  <w:footnote w:id="4">
    <w:p w:rsidR="00080057" w:rsidRDefault="00080057">
      <w:pPr>
        <w:pStyle w:val="FootnoteText"/>
      </w:pPr>
      <w:r w:rsidRPr="00832B52">
        <w:rPr>
          <w:rStyle w:val="FootnoteReference"/>
          <w:vertAlign w:val="superscript"/>
        </w:rPr>
        <w:footnoteRef/>
      </w:r>
      <w:r>
        <w:t xml:space="preserve"> “</w:t>
      </w:r>
      <w:r w:rsidRPr="00271739">
        <w:t xml:space="preserve">The procedure for a </w:t>
      </w:r>
      <w:r>
        <w:t>Load-Serving</w:t>
      </w:r>
      <w:r w:rsidRPr="00271739">
        <w:t xml:space="preserve"> Entity or Balancing Authority to use </w:t>
      </w:r>
      <w:r>
        <w:t>T</w:t>
      </w:r>
      <w:r w:rsidRPr="00271739">
        <w:t>ransmission capacity set aside as CBM</w:t>
      </w:r>
      <w:r>
        <w:t>, including the manner in which the Transmission Service Provider will manage situations where the requested use of CBM exceeds the amount of CBM available</w:t>
      </w:r>
      <w:r w:rsidRPr="00271739">
        <w: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0B"/>
    <w:multiLevelType w:val="hybridMultilevel"/>
    <w:tmpl w:val="35EE3964"/>
    <w:lvl w:ilvl="0" w:tplc="79204CF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2247F"/>
    <w:multiLevelType w:val="multilevel"/>
    <w:tmpl w:val="90C07C8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66B565F"/>
    <w:multiLevelType w:val="multilevel"/>
    <w:tmpl w:val="AADEB5FE"/>
    <w:lvl w:ilvl="0">
      <w:start w:val="6"/>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2957FB"/>
    <w:multiLevelType w:val="hybridMultilevel"/>
    <w:tmpl w:val="25C8D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5583"/>
    <w:multiLevelType w:val="hybridMultilevel"/>
    <w:tmpl w:val="98A80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E13A34"/>
    <w:multiLevelType w:val="hybridMultilevel"/>
    <w:tmpl w:val="55309C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B3352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A3137"/>
    <w:multiLevelType w:val="hybridMultilevel"/>
    <w:tmpl w:val="ADD8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152E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671B3B"/>
    <w:multiLevelType w:val="hybridMultilevel"/>
    <w:tmpl w:val="A58EE1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696FD1"/>
    <w:multiLevelType w:val="hybridMultilevel"/>
    <w:tmpl w:val="F70C4650"/>
    <w:lvl w:ilvl="0" w:tplc="9A681388">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MS Sans Serif"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MS Sans Serif"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2F12928"/>
    <w:multiLevelType w:val="multilevel"/>
    <w:tmpl w:val="AEC2C150"/>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1.%2.%4."/>
      <w:lvlJc w:val="left"/>
      <w:pPr>
        <w:tabs>
          <w:tab w:val="num" w:pos="3024"/>
        </w:tabs>
        <w:ind w:left="2952" w:hanging="648"/>
      </w:pPr>
      <w:rPr>
        <w:rFonts w:hint="default"/>
        <w:b/>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12">
    <w:nsid w:val="24F86763"/>
    <w:multiLevelType w:val="multilevel"/>
    <w:tmpl w:val="0900C5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5545330"/>
    <w:multiLevelType w:val="hybridMultilevel"/>
    <w:tmpl w:val="596A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60ADB"/>
    <w:multiLevelType w:val="hybridMultilevel"/>
    <w:tmpl w:val="B0D0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47266"/>
    <w:multiLevelType w:val="hybridMultilevel"/>
    <w:tmpl w:val="140C981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7A7AF2"/>
    <w:multiLevelType w:val="hybridMultilevel"/>
    <w:tmpl w:val="C3947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231D4F"/>
    <w:multiLevelType w:val="multilevel"/>
    <w:tmpl w:val="83B6716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36F7635D"/>
    <w:multiLevelType w:val="multilevel"/>
    <w:tmpl w:val="59A8E03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37D806FE"/>
    <w:multiLevelType w:val="hybridMultilevel"/>
    <w:tmpl w:val="CA14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226CD5"/>
    <w:multiLevelType w:val="hybridMultilevel"/>
    <w:tmpl w:val="C18E0B62"/>
    <w:lvl w:ilvl="0" w:tplc="455C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B6182"/>
    <w:multiLevelType w:val="hybridMultilevel"/>
    <w:tmpl w:val="2CE47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D044F4"/>
    <w:multiLevelType w:val="hybridMultilevel"/>
    <w:tmpl w:val="D188C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D49E3"/>
    <w:multiLevelType w:val="hybridMultilevel"/>
    <w:tmpl w:val="99FCEEBA"/>
    <w:lvl w:ilvl="0" w:tplc="5CDCD9B6">
      <w:start w:val="1"/>
      <w:numFmt w:val="bullet"/>
      <w:lvlText w:val=""/>
      <w:lvlJc w:val="left"/>
      <w:pPr>
        <w:ind w:left="720" w:hanging="360"/>
      </w:pPr>
      <w:rPr>
        <w:rFonts w:ascii="Symbol" w:hAnsi="Symbol" w:hint="default"/>
      </w:rPr>
    </w:lvl>
    <w:lvl w:ilvl="1" w:tplc="92764B82">
      <w:start w:val="1"/>
      <w:numFmt w:val="bullet"/>
      <w:lvlText w:val="o"/>
      <w:lvlJc w:val="left"/>
      <w:pPr>
        <w:ind w:left="1440" w:hanging="360"/>
      </w:pPr>
      <w:rPr>
        <w:rFonts w:ascii="Courier New" w:hAnsi="Courier New" w:cs="Courier New" w:hint="default"/>
      </w:rPr>
    </w:lvl>
    <w:lvl w:ilvl="2" w:tplc="4FCCCBCE" w:tentative="1">
      <w:start w:val="1"/>
      <w:numFmt w:val="bullet"/>
      <w:lvlText w:val=""/>
      <w:lvlJc w:val="left"/>
      <w:pPr>
        <w:ind w:left="2160" w:hanging="360"/>
      </w:pPr>
      <w:rPr>
        <w:rFonts w:ascii="Wingdings" w:hAnsi="Wingdings" w:hint="default"/>
      </w:rPr>
    </w:lvl>
    <w:lvl w:ilvl="3" w:tplc="5B1CC07C" w:tentative="1">
      <w:start w:val="1"/>
      <w:numFmt w:val="bullet"/>
      <w:lvlText w:val=""/>
      <w:lvlJc w:val="left"/>
      <w:pPr>
        <w:ind w:left="2880" w:hanging="360"/>
      </w:pPr>
      <w:rPr>
        <w:rFonts w:ascii="Symbol" w:hAnsi="Symbol" w:hint="default"/>
      </w:rPr>
    </w:lvl>
    <w:lvl w:ilvl="4" w:tplc="E4E4BE64" w:tentative="1">
      <w:start w:val="1"/>
      <w:numFmt w:val="bullet"/>
      <w:lvlText w:val="o"/>
      <w:lvlJc w:val="left"/>
      <w:pPr>
        <w:ind w:left="3600" w:hanging="360"/>
      </w:pPr>
      <w:rPr>
        <w:rFonts w:ascii="Courier New" w:hAnsi="Courier New" w:cs="Courier New" w:hint="default"/>
      </w:rPr>
    </w:lvl>
    <w:lvl w:ilvl="5" w:tplc="8FAE8A02" w:tentative="1">
      <w:start w:val="1"/>
      <w:numFmt w:val="bullet"/>
      <w:lvlText w:val=""/>
      <w:lvlJc w:val="left"/>
      <w:pPr>
        <w:ind w:left="4320" w:hanging="360"/>
      </w:pPr>
      <w:rPr>
        <w:rFonts w:ascii="Wingdings" w:hAnsi="Wingdings" w:hint="default"/>
      </w:rPr>
    </w:lvl>
    <w:lvl w:ilvl="6" w:tplc="DA78EA88" w:tentative="1">
      <w:start w:val="1"/>
      <w:numFmt w:val="bullet"/>
      <w:lvlText w:val=""/>
      <w:lvlJc w:val="left"/>
      <w:pPr>
        <w:ind w:left="5040" w:hanging="360"/>
      </w:pPr>
      <w:rPr>
        <w:rFonts w:ascii="Symbol" w:hAnsi="Symbol" w:hint="default"/>
      </w:rPr>
    </w:lvl>
    <w:lvl w:ilvl="7" w:tplc="0496417A" w:tentative="1">
      <w:start w:val="1"/>
      <w:numFmt w:val="bullet"/>
      <w:lvlText w:val="o"/>
      <w:lvlJc w:val="left"/>
      <w:pPr>
        <w:ind w:left="5760" w:hanging="360"/>
      </w:pPr>
      <w:rPr>
        <w:rFonts w:ascii="Courier New" w:hAnsi="Courier New" w:cs="Courier New" w:hint="default"/>
      </w:rPr>
    </w:lvl>
    <w:lvl w:ilvl="8" w:tplc="3F9A439E" w:tentative="1">
      <w:start w:val="1"/>
      <w:numFmt w:val="bullet"/>
      <w:lvlText w:val=""/>
      <w:lvlJc w:val="left"/>
      <w:pPr>
        <w:ind w:left="6480" w:hanging="360"/>
      </w:pPr>
      <w:rPr>
        <w:rFonts w:ascii="Wingdings" w:hAnsi="Wingdings" w:hint="default"/>
      </w:rPr>
    </w:lvl>
  </w:abstractNum>
  <w:abstractNum w:abstractNumId="24">
    <w:nsid w:val="4CD70674"/>
    <w:multiLevelType w:val="multilevel"/>
    <w:tmpl w:val="40EAC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F76B44"/>
    <w:multiLevelType w:val="hybridMultilevel"/>
    <w:tmpl w:val="48BA9C1A"/>
    <w:lvl w:ilvl="0" w:tplc="E34462A6">
      <w:start w:val="1"/>
      <w:numFmt w:val="bullet"/>
      <w:lvlText w:val=""/>
      <w:lvlJc w:val="left"/>
      <w:pPr>
        <w:tabs>
          <w:tab w:val="num" w:pos="1800"/>
        </w:tabs>
        <w:ind w:left="1800" w:hanging="360"/>
      </w:pPr>
      <w:rPr>
        <w:rFonts w:ascii="Symbol" w:hAnsi="Symbol" w:hint="default"/>
      </w:rPr>
    </w:lvl>
    <w:lvl w:ilvl="1" w:tplc="FB86D7B2">
      <w:start w:val="1"/>
      <w:numFmt w:val="decimal"/>
      <w:lvlText w:val="%2."/>
      <w:lvlJc w:val="left"/>
      <w:pPr>
        <w:tabs>
          <w:tab w:val="num" w:pos="2520"/>
        </w:tabs>
        <w:ind w:left="2520" w:hanging="360"/>
      </w:pPr>
      <w:rPr>
        <w:rFonts w:hint="default"/>
      </w:rPr>
    </w:lvl>
    <w:lvl w:ilvl="2" w:tplc="4EB63068" w:tentative="1">
      <w:start w:val="1"/>
      <w:numFmt w:val="bullet"/>
      <w:lvlText w:val=""/>
      <w:lvlJc w:val="left"/>
      <w:pPr>
        <w:tabs>
          <w:tab w:val="num" w:pos="3240"/>
        </w:tabs>
        <w:ind w:left="3240" w:hanging="360"/>
      </w:pPr>
      <w:rPr>
        <w:rFonts w:ascii="Wingdings" w:hAnsi="Wingdings" w:hint="default"/>
      </w:rPr>
    </w:lvl>
    <w:lvl w:ilvl="3" w:tplc="8548B9C0" w:tentative="1">
      <w:start w:val="1"/>
      <w:numFmt w:val="bullet"/>
      <w:lvlText w:val=""/>
      <w:lvlJc w:val="left"/>
      <w:pPr>
        <w:tabs>
          <w:tab w:val="num" w:pos="3960"/>
        </w:tabs>
        <w:ind w:left="3960" w:hanging="360"/>
      </w:pPr>
      <w:rPr>
        <w:rFonts w:ascii="Symbol" w:hAnsi="Symbol" w:hint="default"/>
      </w:rPr>
    </w:lvl>
    <w:lvl w:ilvl="4" w:tplc="89EEFF70" w:tentative="1">
      <w:start w:val="1"/>
      <w:numFmt w:val="bullet"/>
      <w:lvlText w:val="o"/>
      <w:lvlJc w:val="left"/>
      <w:pPr>
        <w:tabs>
          <w:tab w:val="num" w:pos="4680"/>
        </w:tabs>
        <w:ind w:left="4680" w:hanging="360"/>
      </w:pPr>
      <w:rPr>
        <w:rFonts w:ascii="Courier New" w:hAnsi="Courier New" w:cs="Courier New" w:hint="default"/>
      </w:rPr>
    </w:lvl>
    <w:lvl w:ilvl="5" w:tplc="FB58F4D0" w:tentative="1">
      <w:start w:val="1"/>
      <w:numFmt w:val="bullet"/>
      <w:lvlText w:val=""/>
      <w:lvlJc w:val="left"/>
      <w:pPr>
        <w:tabs>
          <w:tab w:val="num" w:pos="5400"/>
        </w:tabs>
        <w:ind w:left="5400" w:hanging="360"/>
      </w:pPr>
      <w:rPr>
        <w:rFonts w:ascii="Wingdings" w:hAnsi="Wingdings" w:hint="default"/>
      </w:rPr>
    </w:lvl>
    <w:lvl w:ilvl="6" w:tplc="78C22990" w:tentative="1">
      <w:start w:val="1"/>
      <w:numFmt w:val="bullet"/>
      <w:lvlText w:val=""/>
      <w:lvlJc w:val="left"/>
      <w:pPr>
        <w:tabs>
          <w:tab w:val="num" w:pos="6120"/>
        </w:tabs>
        <w:ind w:left="6120" w:hanging="360"/>
      </w:pPr>
      <w:rPr>
        <w:rFonts w:ascii="Symbol" w:hAnsi="Symbol" w:hint="default"/>
      </w:rPr>
    </w:lvl>
    <w:lvl w:ilvl="7" w:tplc="04709574" w:tentative="1">
      <w:start w:val="1"/>
      <w:numFmt w:val="bullet"/>
      <w:lvlText w:val="o"/>
      <w:lvlJc w:val="left"/>
      <w:pPr>
        <w:tabs>
          <w:tab w:val="num" w:pos="6840"/>
        </w:tabs>
        <w:ind w:left="6840" w:hanging="360"/>
      </w:pPr>
      <w:rPr>
        <w:rFonts w:ascii="Courier New" w:hAnsi="Courier New" w:cs="Courier New" w:hint="default"/>
      </w:rPr>
    </w:lvl>
    <w:lvl w:ilvl="8" w:tplc="288E3510" w:tentative="1">
      <w:start w:val="1"/>
      <w:numFmt w:val="bullet"/>
      <w:lvlText w:val=""/>
      <w:lvlJc w:val="left"/>
      <w:pPr>
        <w:tabs>
          <w:tab w:val="num" w:pos="7560"/>
        </w:tabs>
        <w:ind w:left="7560" w:hanging="360"/>
      </w:pPr>
      <w:rPr>
        <w:rFonts w:ascii="Wingdings" w:hAnsi="Wingdings" w:hint="default"/>
      </w:rPr>
    </w:lvl>
  </w:abstractNum>
  <w:abstractNum w:abstractNumId="26">
    <w:nsid w:val="4DE0515F"/>
    <w:multiLevelType w:val="multilevel"/>
    <w:tmpl w:val="04800E9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4E4C7D78"/>
    <w:multiLevelType w:val="hybridMultilevel"/>
    <w:tmpl w:val="6AF0EFF6"/>
    <w:lvl w:ilvl="0" w:tplc="C2AA9328">
      <w:start w:val="1"/>
      <w:numFmt w:val="decimal"/>
      <w:lvlText w:val="%1."/>
      <w:lvlJc w:val="left"/>
      <w:pPr>
        <w:tabs>
          <w:tab w:val="num" w:pos="360"/>
        </w:tabs>
        <w:ind w:left="360" w:hanging="360"/>
      </w:pPr>
    </w:lvl>
    <w:lvl w:ilvl="1" w:tplc="E8465596">
      <w:start w:val="1"/>
      <w:numFmt w:val="bullet"/>
      <w:lvlText w:val=""/>
      <w:lvlJc w:val="left"/>
      <w:pPr>
        <w:tabs>
          <w:tab w:val="num" w:pos="1080"/>
        </w:tabs>
        <w:ind w:left="1080" w:hanging="360"/>
      </w:pPr>
      <w:rPr>
        <w:rFonts w:ascii="Symbol" w:hAnsi="Symbol" w:hint="default"/>
      </w:rPr>
    </w:lvl>
    <w:lvl w:ilvl="2" w:tplc="B3F430DE" w:tentative="1">
      <w:start w:val="1"/>
      <w:numFmt w:val="lowerRoman"/>
      <w:lvlText w:val="%3."/>
      <w:lvlJc w:val="right"/>
      <w:pPr>
        <w:tabs>
          <w:tab w:val="num" w:pos="1800"/>
        </w:tabs>
        <w:ind w:left="1800" w:hanging="180"/>
      </w:pPr>
    </w:lvl>
    <w:lvl w:ilvl="3" w:tplc="340E65D6" w:tentative="1">
      <w:start w:val="1"/>
      <w:numFmt w:val="decimal"/>
      <w:lvlText w:val="%4."/>
      <w:lvlJc w:val="left"/>
      <w:pPr>
        <w:tabs>
          <w:tab w:val="num" w:pos="2520"/>
        </w:tabs>
        <w:ind w:left="2520" w:hanging="360"/>
      </w:pPr>
    </w:lvl>
    <w:lvl w:ilvl="4" w:tplc="2F44AA96" w:tentative="1">
      <w:start w:val="1"/>
      <w:numFmt w:val="lowerLetter"/>
      <w:lvlText w:val="%5."/>
      <w:lvlJc w:val="left"/>
      <w:pPr>
        <w:tabs>
          <w:tab w:val="num" w:pos="3240"/>
        </w:tabs>
        <w:ind w:left="3240" w:hanging="360"/>
      </w:pPr>
    </w:lvl>
    <w:lvl w:ilvl="5" w:tplc="D11CA1BE" w:tentative="1">
      <w:start w:val="1"/>
      <w:numFmt w:val="lowerRoman"/>
      <w:lvlText w:val="%6."/>
      <w:lvlJc w:val="right"/>
      <w:pPr>
        <w:tabs>
          <w:tab w:val="num" w:pos="3960"/>
        </w:tabs>
        <w:ind w:left="3960" w:hanging="180"/>
      </w:pPr>
    </w:lvl>
    <w:lvl w:ilvl="6" w:tplc="A3209A0C" w:tentative="1">
      <w:start w:val="1"/>
      <w:numFmt w:val="decimal"/>
      <w:lvlText w:val="%7."/>
      <w:lvlJc w:val="left"/>
      <w:pPr>
        <w:tabs>
          <w:tab w:val="num" w:pos="4680"/>
        </w:tabs>
        <w:ind w:left="4680" w:hanging="360"/>
      </w:pPr>
    </w:lvl>
    <w:lvl w:ilvl="7" w:tplc="6C5A53D8" w:tentative="1">
      <w:start w:val="1"/>
      <w:numFmt w:val="lowerLetter"/>
      <w:lvlText w:val="%8."/>
      <w:lvlJc w:val="left"/>
      <w:pPr>
        <w:tabs>
          <w:tab w:val="num" w:pos="5400"/>
        </w:tabs>
        <w:ind w:left="5400" w:hanging="360"/>
      </w:pPr>
    </w:lvl>
    <w:lvl w:ilvl="8" w:tplc="DF4882AE" w:tentative="1">
      <w:start w:val="1"/>
      <w:numFmt w:val="lowerRoman"/>
      <w:lvlText w:val="%9."/>
      <w:lvlJc w:val="right"/>
      <w:pPr>
        <w:tabs>
          <w:tab w:val="num" w:pos="6120"/>
        </w:tabs>
        <w:ind w:left="6120" w:hanging="180"/>
      </w:pPr>
    </w:lvl>
  </w:abstractNum>
  <w:abstractNum w:abstractNumId="28">
    <w:nsid w:val="4E59671F"/>
    <w:multiLevelType w:val="hybridMultilevel"/>
    <w:tmpl w:val="DC24E8C8"/>
    <w:lvl w:ilvl="0" w:tplc="8B022DB8">
      <w:start w:val="1"/>
      <w:numFmt w:val="bullet"/>
      <w:lvlText w:val=""/>
      <w:lvlJc w:val="left"/>
      <w:pPr>
        <w:tabs>
          <w:tab w:val="num" w:pos="720"/>
        </w:tabs>
        <w:ind w:left="720" w:hanging="360"/>
      </w:pPr>
      <w:rPr>
        <w:rFonts w:ascii="Symbol" w:hAnsi="Symbol" w:hint="default"/>
      </w:rPr>
    </w:lvl>
    <w:lvl w:ilvl="1" w:tplc="72B06BCE" w:tentative="1">
      <w:start w:val="1"/>
      <w:numFmt w:val="bullet"/>
      <w:lvlText w:val="o"/>
      <w:lvlJc w:val="left"/>
      <w:pPr>
        <w:tabs>
          <w:tab w:val="num" w:pos="1440"/>
        </w:tabs>
        <w:ind w:left="1440" w:hanging="360"/>
      </w:pPr>
      <w:rPr>
        <w:rFonts w:ascii="Courier New" w:hAnsi="Courier New" w:cs="Courier New" w:hint="default"/>
      </w:rPr>
    </w:lvl>
    <w:lvl w:ilvl="2" w:tplc="39223760" w:tentative="1">
      <w:start w:val="1"/>
      <w:numFmt w:val="bullet"/>
      <w:lvlText w:val=""/>
      <w:lvlJc w:val="left"/>
      <w:pPr>
        <w:tabs>
          <w:tab w:val="num" w:pos="2160"/>
        </w:tabs>
        <w:ind w:left="2160" w:hanging="360"/>
      </w:pPr>
      <w:rPr>
        <w:rFonts w:ascii="Wingdings" w:hAnsi="Wingdings" w:hint="default"/>
      </w:rPr>
    </w:lvl>
    <w:lvl w:ilvl="3" w:tplc="DB4232BC" w:tentative="1">
      <w:start w:val="1"/>
      <w:numFmt w:val="bullet"/>
      <w:lvlText w:val=""/>
      <w:lvlJc w:val="left"/>
      <w:pPr>
        <w:tabs>
          <w:tab w:val="num" w:pos="2880"/>
        </w:tabs>
        <w:ind w:left="2880" w:hanging="360"/>
      </w:pPr>
      <w:rPr>
        <w:rFonts w:ascii="Symbol" w:hAnsi="Symbol" w:hint="default"/>
      </w:rPr>
    </w:lvl>
    <w:lvl w:ilvl="4" w:tplc="D23271C2" w:tentative="1">
      <w:start w:val="1"/>
      <w:numFmt w:val="bullet"/>
      <w:lvlText w:val="o"/>
      <w:lvlJc w:val="left"/>
      <w:pPr>
        <w:tabs>
          <w:tab w:val="num" w:pos="3600"/>
        </w:tabs>
        <w:ind w:left="3600" w:hanging="360"/>
      </w:pPr>
      <w:rPr>
        <w:rFonts w:ascii="Courier New" w:hAnsi="Courier New" w:cs="Courier New" w:hint="default"/>
      </w:rPr>
    </w:lvl>
    <w:lvl w:ilvl="5" w:tplc="A030E158" w:tentative="1">
      <w:start w:val="1"/>
      <w:numFmt w:val="bullet"/>
      <w:lvlText w:val=""/>
      <w:lvlJc w:val="left"/>
      <w:pPr>
        <w:tabs>
          <w:tab w:val="num" w:pos="4320"/>
        </w:tabs>
        <w:ind w:left="4320" w:hanging="360"/>
      </w:pPr>
      <w:rPr>
        <w:rFonts w:ascii="Wingdings" w:hAnsi="Wingdings" w:hint="default"/>
      </w:rPr>
    </w:lvl>
    <w:lvl w:ilvl="6" w:tplc="767CE626" w:tentative="1">
      <w:start w:val="1"/>
      <w:numFmt w:val="bullet"/>
      <w:lvlText w:val=""/>
      <w:lvlJc w:val="left"/>
      <w:pPr>
        <w:tabs>
          <w:tab w:val="num" w:pos="5040"/>
        </w:tabs>
        <w:ind w:left="5040" w:hanging="360"/>
      </w:pPr>
      <w:rPr>
        <w:rFonts w:ascii="Symbol" w:hAnsi="Symbol" w:hint="default"/>
      </w:rPr>
    </w:lvl>
    <w:lvl w:ilvl="7" w:tplc="D8C6E570" w:tentative="1">
      <w:start w:val="1"/>
      <w:numFmt w:val="bullet"/>
      <w:lvlText w:val="o"/>
      <w:lvlJc w:val="left"/>
      <w:pPr>
        <w:tabs>
          <w:tab w:val="num" w:pos="5760"/>
        </w:tabs>
        <w:ind w:left="5760" w:hanging="360"/>
      </w:pPr>
      <w:rPr>
        <w:rFonts w:ascii="Courier New" w:hAnsi="Courier New" w:cs="Courier New" w:hint="default"/>
      </w:rPr>
    </w:lvl>
    <w:lvl w:ilvl="8" w:tplc="ACF4C052" w:tentative="1">
      <w:start w:val="1"/>
      <w:numFmt w:val="bullet"/>
      <w:lvlText w:val=""/>
      <w:lvlJc w:val="left"/>
      <w:pPr>
        <w:tabs>
          <w:tab w:val="num" w:pos="6480"/>
        </w:tabs>
        <w:ind w:left="6480" w:hanging="360"/>
      </w:pPr>
      <w:rPr>
        <w:rFonts w:ascii="Wingdings" w:hAnsi="Wingdings" w:hint="default"/>
      </w:rPr>
    </w:lvl>
  </w:abstractNum>
  <w:abstractNum w:abstractNumId="29">
    <w:nsid w:val="534B399C"/>
    <w:multiLevelType w:val="hybridMultilevel"/>
    <w:tmpl w:val="AE4287D4"/>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A8F5F5C"/>
    <w:multiLevelType w:val="hybridMultilevel"/>
    <w:tmpl w:val="3CAE4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0A7B9B"/>
    <w:multiLevelType w:val="multilevel"/>
    <w:tmpl w:val="04800E9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F922D5D"/>
    <w:multiLevelType w:val="hybridMultilevel"/>
    <w:tmpl w:val="26A29E46"/>
    <w:lvl w:ilvl="0" w:tplc="58B69F94">
      <w:start w:val="1"/>
      <w:numFmt w:val="bullet"/>
      <w:lvlText w:val=""/>
      <w:lvlJc w:val="left"/>
      <w:pPr>
        <w:tabs>
          <w:tab w:val="num" w:pos="720"/>
        </w:tabs>
        <w:ind w:left="720" w:hanging="360"/>
      </w:pPr>
      <w:rPr>
        <w:rFonts w:ascii="Symbol" w:hAnsi="Symbol" w:hint="default"/>
      </w:rPr>
    </w:lvl>
    <w:lvl w:ilvl="1" w:tplc="98FA5386" w:tentative="1">
      <w:start w:val="1"/>
      <w:numFmt w:val="bullet"/>
      <w:lvlText w:val="o"/>
      <w:lvlJc w:val="left"/>
      <w:pPr>
        <w:tabs>
          <w:tab w:val="num" w:pos="1440"/>
        </w:tabs>
        <w:ind w:left="1440" w:hanging="360"/>
      </w:pPr>
      <w:rPr>
        <w:rFonts w:ascii="Courier New" w:hAnsi="Courier New" w:cs="Courier New" w:hint="default"/>
      </w:rPr>
    </w:lvl>
    <w:lvl w:ilvl="2" w:tplc="D57EDED4" w:tentative="1">
      <w:start w:val="1"/>
      <w:numFmt w:val="bullet"/>
      <w:lvlText w:val=""/>
      <w:lvlJc w:val="left"/>
      <w:pPr>
        <w:tabs>
          <w:tab w:val="num" w:pos="2160"/>
        </w:tabs>
        <w:ind w:left="2160" w:hanging="360"/>
      </w:pPr>
      <w:rPr>
        <w:rFonts w:ascii="Wingdings" w:hAnsi="Wingdings" w:hint="default"/>
      </w:rPr>
    </w:lvl>
    <w:lvl w:ilvl="3" w:tplc="0FAC96DC" w:tentative="1">
      <w:start w:val="1"/>
      <w:numFmt w:val="bullet"/>
      <w:lvlText w:val=""/>
      <w:lvlJc w:val="left"/>
      <w:pPr>
        <w:tabs>
          <w:tab w:val="num" w:pos="2880"/>
        </w:tabs>
        <w:ind w:left="2880" w:hanging="360"/>
      </w:pPr>
      <w:rPr>
        <w:rFonts w:ascii="Symbol" w:hAnsi="Symbol" w:hint="default"/>
      </w:rPr>
    </w:lvl>
    <w:lvl w:ilvl="4" w:tplc="F2961CC8" w:tentative="1">
      <w:start w:val="1"/>
      <w:numFmt w:val="bullet"/>
      <w:lvlText w:val="o"/>
      <w:lvlJc w:val="left"/>
      <w:pPr>
        <w:tabs>
          <w:tab w:val="num" w:pos="3600"/>
        </w:tabs>
        <w:ind w:left="3600" w:hanging="360"/>
      </w:pPr>
      <w:rPr>
        <w:rFonts w:ascii="Courier New" w:hAnsi="Courier New" w:cs="Courier New" w:hint="default"/>
      </w:rPr>
    </w:lvl>
    <w:lvl w:ilvl="5" w:tplc="771AA274" w:tentative="1">
      <w:start w:val="1"/>
      <w:numFmt w:val="bullet"/>
      <w:lvlText w:val=""/>
      <w:lvlJc w:val="left"/>
      <w:pPr>
        <w:tabs>
          <w:tab w:val="num" w:pos="4320"/>
        </w:tabs>
        <w:ind w:left="4320" w:hanging="360"/>
      </w:pPr>
      <w:rPr>
        <w:rFonts w:ascii="Wingdings" w:hAnsi="Wingdings" w:hint="default"/>
      </w:rPr>
    </w:lvl>
    <w:lvl w:ilvl="6" w:tplc="E4DEB948" w:tentative="1">
      <w:start w:val="1"/>
      <w:numFmt w:val="bullet"/>
      <w:lvlText w:val=""/>
      <w:lvlJc w:val="left"/>
      <w:pPr>
        <w:tabs>
          <w:tab w:val="num" w:pos="5040"/>
        </w:tabs>
        <w:ind w:left="5040" w:hanging="360"/>
      </w:pPr>
      <w:rPr>
        <w:rFonts w:ascii="Symbol" w:hAnsi="Symbol" w:hint="default"/>
      </w:rPr>
    </w:lvl>
    <w:lvl w:ilvl="7" w:tplc="B4D6F464" w:tentative="1">
      <w:start w:val="1"/>
      <w:numFmt w:val="bullet"/>
      <w:lvlText w:val="o"/>
      <w:lvlJc w:val="left"/>
      <w:pPr>
        <w:tabs>
          <w:tab w:val="num" w:pos="5760"/>
        </w:tabs>
        <w:ind w:left="5760" w:hanging="360"/>
      </w:pPr>
      <w:rPr>
        <w:rFonts w:ascii="Courier New" w:hAnsi="Courier New" w:cs="Courier New" w:hint="default"/>
      </w:rPr>
    </w:lvl>
    <w:lvl w:ilvl="8" w:tplc="47C267A6" w:tentative="1">
      <w:start w:val="1"/>
      <w:numFmt w:val="bullet"/>
      <w:lvlText w:val=""/>
      <w:lvlJc w:val="left"/>
      <w:pPr>
        <w:tabs>
          <w:tab w:val="num" w:pos="6480"/>
        </w:tabs>
        <w:ind w:left="6480" w:hanging="360"/>
      </w:pPr>
      <w:rPr>
        <w:rFonts w:ascii="Wingdings" w:hAnsi="Wingdings" w:hint="default"/>
      </w:rPr>
    </w:lvl>
  </w:abstractNum>
  <w:abstractNum w:abstractNumId="33">
    <w:nsid w:val="61814BCD"/>
    <w:multiLevelType w:val="hybridMultilevel"/>
    <w:tmpl w:val="97565BAA"/>
    <w:lvl w:ilvl="0" w:tplc="14F68346">
      <w:start w:val="1"/>
      <w:numFmt w:val="bullet"/>
      <w:lvlText w:val=""/>
      <w:lvlJc w:val="left"/>
      <w:pPr>
        <w:tabs>
          <w:tab w:val="num" w:pos="1080"/>
        </w:tabs>
        <w:ind w:left="1080" w:hanging="360"/>
      </w:pPr>
      <w:rPr>
        <w:rFonts w:ascii="Symbol" w:hAnsi="Symbol" w:hint="default"/>
      </w:rPr>
    </w:lvl>
    <w:lvl w:ilvl="1" w:tplc="9C587152">
      <w:start w:val="1"/>
      <w:numFmt w:val="lowerLetter"/>
      <w:lvlText w:val="%2."/>
      <w:lvlJc w:val="left"/>
      <w:pPr>
        <w:tabs>
          <w:tab w:val="num" w:pos="1800"/>
        </w:tabs>
        <w:ind w:left="1800" w:hanging="360"/>
      </w:pPr>
    </w:lvl>
    <w:lvl w:ilvl="2" w:tplc="E10E6CD0" w:tentative="1">
      <w:start w:val="1"/>
      <w:numFmt w:val="lowerRoman"/>
      <w:lvlText w:val="%3."/>
      <w:lvlJc w:val="right"/>
      <w:pPr>
        <w:tabs>
          <w:tab w:val="num" w:pos="2520"/>
        </w:tabs>
        <w:ind w:left="2520" w:hanging="180"/>
      </w:pPr>
    </w:lvl>
    <w:lvl w:ilvl="3" w:tplc="00C040D8" w:tentative="1">
      <w:start w:val="1"/>
      <w:numFmt w:val="decimal"/>
      <w:lvlText w:val="%4."/>
      <w:lvlJc w:val="left"/>
      <w:pPr>
        <w:tabs>
          <w:tab w:val="num" w:pos="3240"/>
        </w:tabs>
        <w:ind w:left="3240" w:hanging="360"/>
      </w:pPr>
    </w:lvl>
    <w:lvl w:ilvl="4" w:tplc="0F0C8190" w:tentative="1">
      <w:start w:val="1"/>
      <w:numFmt w:val="lowerLetter"/>
      <w:lvlText w:val="%5."/>
      <w:lvlJc w:val="left"/>
      <w:pPr>
        <w:tabs>
          <w:tab w:val="num" w:pos="3960"/>
        </w:tabs>
        <w:ind w:left="3960" w:hanging="360"/>
      </w:pPr>
    </w:lvl>
    <w:lvl w:ilvl="5" w:tplc="D348EEEC" w:tentative="1">
      <w:start w:val="1"/>
      <w:numFmt w:val="lowerRoman"/>
      <w:lvlText w:val="%6."/>
      <w:lvlJc w:val="right"/>
      <w:pPr>
        <w:tabs>
          <w:tab w:val="num" w:pos="4680"/>
        </w:tabs>
        <w:ind w:left="4680" w:hanging="180"/>
      </w:pPr>
    </w:lvl>
    <w:lvl w:ilvl="6" w:tplc="7FBE212C" w:tentative="1">
      <w:start w:val="1"/>
      <w:numFmt w:val="decimal"/>
      <w:lvlText w:val="%7."/>
      <w:lvlJc w:val="left"/>
      <w:pPr>
        <w:tabs>
          <w:tab w:val="num" w:pos="5400"/>
        </w:tabs>
        <w:ind w:left="5400" w:hanging="360"/>
      </w:pPr>
    </w:lvl>
    <w:lvl w:ilvl="7" w:tplc="0D560C06" w:tentative="1">
      <w:start w:val="1"/>
      <w:numFmt w:val="lowerLetter"/>
      <w:lvlText w:val="%8."/>
      <w:lvlJc w:val="left"/>
      <w:pPr>
        <w:tabs>
          <w:tab w:val="num" w:pos="6120"/>
        </w:tabs>
        <w:ind w:left="6120" w:hanging="360"/>
      </w:pPr>
    </w:lvl>
    <w:lvl w:ilvl="8" w:tplc="B1D01206" w:tentative="1">
      <w:start w:val="1"/>
      <w:numFmt w:val="lowerRoman"/>
      <w:lvlText w:val="%9."/>
      <w:lvlJc w:val="right"/>
      <w:pPr>
        <w:tabs>
          <w:tab w:val="num" w:pos="6840"/>
        </w:tabs>
        <w:ind w:left="6840" w:hanging="180"/>
      </w:pPr>
    </w:lvl>
  </w:abstractNum>
  <w:abstractNum w:abstractNumId="34">
    <w:nsid w:val="62605517"/>
    <w:multiLevelType w:val="hybridMultilevel"/>
    <w:tmpl w:val="4B64D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F02317"/>
    <w:multiLevelType w:val="multilevel"/>
    <w:tmpl w:val="FA16D2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58007C9"/>
    <w:multiLevelType w:val="hybridMultilevel"/>
    <w:tmpl w:val="67024944"/>
    <w:lvl w:ilvl="0" w:tplc="8E5831E8">
      <w:start w:val="777"/>
      <w:numFmt w:val="decimal"/>
      <w:lvlText w:val="%1."/>
      <w:lvlJc w:val="left"/>
      <w:pPr>
        <w:tabs>
          <w:tab w:val="num" w:pos="900"/>
        </w:tabs>
        <w:ind w:left="900" w:hanging="540"/>
      </w:pPr>
      <w:rPr>
        <w:rFonts w:hint="default"/>
      </w:rPr>
    </w:lvl>
    <w:lvl w:ilvl="1" w:tplc="1D1C3288" w:tentative="1">
      <w:start w:val="1"/>
      <w:numFmt w:val="lowerLetter"/>
      <w:lvlText w:val="%2."/>
      <w:lvlJc w:val="left"/>
      <w:pPr>
        <w:tabs>
          <w:tab w:val="num" w:pos="1440"/>
        </w:tabs>
        <w:ind w:left="1440" w:hanging="360"/>
      </w:pPr>
    </w:lvl>
    <w:lvl w:ilvl="2" w:tplc="E1F8881C" w:tentative="1">
      <w:start w:val="1"/>
      <w:numFmt w:val="lowerRoman"/>
      <w:lvlText w:val="%3."/>
      <w:lvlJc w:val="right"/>
      <w:pPr>
        <w:tabs>
          <w:tab w:val="num" w:pos="2160"/>
        </w:tabs>
        <w:ind w:left="2160" w:hanging="180"/>
      </w:pPr>
    </w:lvl>
    <w:lvl w:ilvl="3" w:tplc="2286F2CA" w:tentative="1">
      <w:start w:val="1"/>
      <w:numFmt w:val="decimal"/>
      <w:lvlText w:val="%4."/>
      <w:lvlJc w:val="left"/>
      <w:pPr>
        <w:tabs>
          <w:tab w:val="num" w:pos="2880"/>
        </w:tabs>
        <w:ind w:left="2880" w:hanging="360"/>
      </w:pPr>
    </w:lvl>
    <w:lvl w:ilvl="4" w:tplc="DEA29222" w:tentative="1">
      <w:start w:val="1"/>
      <w:numFmt w:val="lowerLetter"/>
      <w:lvlText w:val="%5."/>
      <w:lvlJc w:val="left"/>
      <w:pPr>
        <w:tabs>
          <w:tab w:val="num" w:pos="3600"/>
        </w:tabs>
        <w:ind w:left="3600" w:hanging="360"/>
      </w:pPr>
    </w:lvl>
    <w:lvl w:ilvl="5" w:tplc="99DE4976" w:tentative="1">
      <w:start w:val="1"/>
      <w:numFmt w:val="lowerRoman"/>
      <w:lvlText w:val="%6."/>
      <w:lvlJc w:val="right"/>
      <w:pPr>
        <w:tabs>
          <w:tab w:val="num" w:pos="4320"/>
        </w:tabs>
        <w:ind w:left="4320" w:hanging="180"/>
      </w:pPr>
    </w:lvl>
    <w:lvl w:ilvl="6" w:tplc="816EB7EC" w:tentative="1">
      <w:start w:val="1"/>
      <w:numFmt w:val="decimal"/>
      <w:lvlText w:val="%7."/>
      <w:lvlJc w:val="left"/>
      <w:pPr>
        <w:tabs>
          <w:tab w:val="num" w:pos="5040"/>
        </w:tabs>
        <w:ind w:left="5040" w:hanging="360"/>
      </w:pPr>
    </w:lvl>
    <w:lvl w:ilvl="7" w:tplc="5DD4113E" w:tentative="1">
      <w:start w:val="1"/>
      <w:numFmt w:val="lowerLetter"/>
      <w:lvlText w:val="%8."/>
      <w:lvlJc w:val="left"/>
      <w:pPr>
        <w:tabs>
          <w:tab w:val="num" w:pos="5760"/>
        </w:tabs>
        <w:ind w:left="5760" w:hanging="360"/>
      </w:pPr>
    </w:lvl>
    <w:lvl w:ilvl="8" w:tplc="DAD24F44" w:tentative="1">
      <w:start w:val="1"/>
      <w:numFmt w:val="lowerRoman"/>
      <w:lvlText w:val="%9."/>
      <w:lvlJc w:val="right"/>
      <w:pPr>
        <w:tabs>
          <w:tab w:val="num" w:pos="6480"/>
        </w:tabs>
        <w:ind w:left="6480" w:hanging="180"/>
      </w:pPr>
    </w:lvl>
  </w:abstractNum>
  <w:abstractNum w:abstractNumId="37">
    <w:nsid w:val="769F7C8E"/>
    <w:multiLevelType w:val="hybridMultilevel"/>
    <w:tmpl w:val="60E47D90"/>
    <w:lvl w:ilvl="0" w:tplc="9CE8FA26">
      <w:start w:val="1"/>
      <w:numFmt w:val="lowerLetter"/>
      <w:lvlText w:val="%1."/>
      <w:lvlJc w:val="left"/>
      <w:pPr>
        <w:tabs>
          <w:tab w:val="num" w:pos="720"/>
        </w:tabs>
        <w:ind w:left="720" w:hanging="360"/>
      </w:pPr>
    </w:lvl>
    <w:lvl w:ilvl="1" w:tplc="291A394A" w:tentative="1">
      <w:start w:val="1"/>
      <w:numFmt w:val="lowerLetter"/>
      <w:lvlText w:val="%2."/>
      <w:lvlJc w:val="left"/>
      <w:pPr>
        <w:tabs>
          <w:tab w:val="num" w:pos="1440"/>
        </w:tabs>
        <w:ind w:left="1440" w:hanging="360"/>
      </w:pPr>
    </w:lvl>
    <w:lvl w:ilvl="2" w:tplc="318C5554" w:tentative="1">
      <w:start w:val="1"/>
      <w:numFmt w:val="lowerRoman"/>
      <w:lvlText w:val="%3."/>
      <w:lvlJc w:val="right"/>
      <w:pPr>
        <w:tabs>
          <w:tab w:val="num" w:pos="2160"/>
        </w:tabs>
        <w:ind w:left="2160" w:hanging="180"/>
      </w:pPr>
    </w:lvl>
    <w:lvl w:ilvl="3" w:tplc="F3A6CF14" w:tentative="1">
      <w:start w:val="1"/>
      <w:numFmt w:val="decimal"/>
      <w:lvlText w:val="%4."/>
      <w:lvlJc w:val="left"/>
      <w:pPr>
        <w:tabs>
          <w:tab w:val="num" w:pos="2880"/>
        </w:tabs>
        <w:ind w:left="2880" w:hanging="360"/>
      </w:pPr>
    </w:lvl>
    <w:lvl w:ilvl="4" w:tplc="BD6A323C" w:tentative="1">
      <w:start w:val="1"/>
      <w:numFmt w:val="lowerLetter"/>
      <w:lvlText w:val="%5."/>
      <w:lvlJc w:val="left"/>
      <w:pPr>
        <w:tabs>
          <w:tab w:val="num" w:pos="3600"/>
        </w:tabs>
        <w:ind w:left="3600" w:hanging="360"/>
      </w:pPr>
    </w:lvl>
    <w:lvl w:ilvl="5" w:tplc="7C24FC40" w:tentative="1">
      <w:start w:val="1"/>
      <w:numFmt w:val="lowerRoman"/>
      <w:lvlText w:val="%6."/>
      <w:lvlJc w:val="right"/>
      <w:pPr>
        <w:tabs>
          <w:tab w:val="num" w:pos="4320"/>
        </w:tabs>
        <w:ind w:left="4320" w:hanging="180"/>
      </w:pPr>
    </w:lvl>
    <w:lvl w:ilvl="6" w:tplc="D5B88FC0" w:tentative="1">
      <w:start w:val="1"/>
      <w:numFmt w:val="decimal"/>
      <w:lvlText w:val="%7."/>
      <w:lvlJc w:val="left"/>
      <w:pPr>
        <w:tabs>
          <w:tab w:val="num" w:pos="5040"/>
        </w:tabs>
        <w:ind w:left="5040" w:hanging="360"/>
      </w:pPr>
    </w:lvl>
    <w:lvl w:ilvl="7" w:tplc="4B2E872A" w:tentative="1">
      <w:start w:val="1"/>
      <w:numFmt w:val="lowerLetter"/>
      <w:lvlText w:val="%8."/>
      <w:lvlJc w:val="left"/>
      <w:pPr>
        <w:tabs>
          <w:tab w:val="num" w:pos="5760"/>
        </w:tabs>
        <w:ind w:left="5760" w:hanging="360"/>
      </w:pPr>
    </w:lvl>
    <w:lvl w:ilvl="8" w:tplc="C83081C6" w:tentative="1">
      <w:start w:val="1"/>
      <w:numFmt w:val="lowerRoman"/>
      <w:lvlText w:val="%9."/>
      <w:lvlJc w:val="right"/>
      <w:pPr>
        <w:tabs>
          <w:tab w:val="num" w:pos="6480"/>
        </w:tabs>
        <w:ind w:left="6480" w:hanging="180"/>
      </w:pPr>
    </w:lvl>
  </w:abstractNum>
  <w:abstractNum w:abstractNumId="38">
    <w:nsid w:val="795C11A2"/>
    <w:multiLevelType w:val="multilevel"/>
    <w:tmpl w:val="C736DC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CC74210"/>
    <w:multiLevelType w:val="multilevel"/>
    <w:tmpl w:val="59A8E03C"/>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8"/>
  </w:num>
  <w:num w:numId="3">
    <w:abstractNumId w:val="30"/>
  </w:num>
  <w:num w:numId="4">
    <w:abstractNumId w:val="29"/>
  </w:num>
  <w:num w:numId="5">
    <w:abstractNumId w:val="7"/>
  </w:num>
  <w:num w:numId="6">
    <w:abstractNumId w:val="38"/>
  </w:num>
  <w:num w:numId="7">
    <w:abstractNumId w:val="21"/>
  </w:num>
  <w:num w:numId="8">
    <w:abstractNumId w:val="22"/>
  </w:num>
  <w:num w:numId="9">
    <w:abstractNumId w:val="25"/>
  </w:num>
  <w:num w:numId="10">
    <w:abstractNumId w:val="4"/>
  </w:num>
  <w:num w:numId="11">
    <w:abstractNumId w:val="33"/>
  </w:num>
  <w:num w:numId="12">
    <w:abstractNumId w:val="16"/>
  </w:num>
  <w:num w:numId="13">
    <w:abstractNumId w:val="32"/>
  </w:num>
  <w:num w:numId="14">
    <w:abstractNumId w:val="13"/>
  </w:num>
  <w:num w:numId="15">
    <w:abstractNumId w:val="34"/>
  </w:num>
  <w:num w:numId="16">
    <w:abstractNumId w:val="5"/>
  </w:num>
  <w:num w:numId="17">
    <w:abstractNumId w:val="14"/>
  </w:num>
  <w:num w:numId="18">
    <w:abstractNumId w:val="15"/>
  </w:num>
  <w:num w:numId="19">
    <w:abstractNumId w:val="12"/>
  </w:num>
  <w:num w:numId="20">
    <w:abstractNumId w:val="9"/>
  </w:num>
  <w:num w:numId="21">
    <w:abstractNumId w:val="36"/>
  </w:num>
  <w:num w:numId="22">
    <w:abstractNumId w:val="37"/>
  </w:num>
  <w:num w:numId="23">
    <w:abstractNumId w:val="35"/>
  </w:num>
  <w:num w:numId="24">
    <w:abstractNumId w:val="24"/>
  </w:num>
  <w:num w:numId="25">
    <w:abstractNumId w:val="27"/>
  </w:num>
  <w:num w:numId="26">
    <w:abstractNumId w:val="10"/>
  </w:num>
  <w:num w:numId="27">
    <w:abstractNumId w:val="19"/>
  </w:num>
  <w:num w:numId="28">
    <w:abstractNumId w:val="1"/>
  </w:num>
  <w:num w:numId="29">
    <w:abstractNumId w:val="0"/>
  </w:num>
  <w:num w:numId="30">
    <w:abstractNumId w:val="18"/>
  </w:num>
  <w:num w:numId="31">
    <w:abstractNumId w:val="23"/>
  </w:num>
  <w:num w:numId="32">
    <w:abstractNumId w:val="39"/>
  </w:num>
  <w:num w:numId="33">
    <w:abstractNumId w:val="17"/>
  </w:num>
  <w:num w:numId="34">
    <w:abstractNumId w:val="31"/>
  </w:num>
  <w:num w:numId="35">
    <w:abstractNumId w:val="26"/>
  </w:num>
  <w:num w:numId="36">
    <w:abstractNumId w:val="11"/>
  </w:num>
  <w:num w:numId="37">
    <w:abstractNumId w:val="2"/>
  </w:num>
  <w:num w:numId="38">
    <w:abstractNumId w:val="8"/>
  </w:num>
  <w:num w:numId="39">
    <w:abstractNumId w:val="6"/>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86CD9"/>
    <w:rsid w:val="00015EC5"/>
    <w:rsid w:val="00041B6B"/>
    <w:rsid w:val="00062154"/>
    <w:rsid w:val="00062A5B"/>
    <w:rsid w:val="00063EF4"/>
    <w:rsid w:val="00080057"/>
    <w:rsid w:val="00087C49"/>
    <w:rsid w:val="001424B7"/>
    <w:rsid w:val="00170CE0"/>
    <w:rsid w:val="00182E03"/>
    <w:rsid w:val="00194D40"/>
    <w:rsid w:val="001C58B3"/>
    <w:rsid w:val="001D170C"/>
    <w:rsid w:val="002038D8"/>
    <w:rsid w:val="0021514A"/>
    <w:rsid w:val="00256FB5"/>
    <w:rsid w:val="00290471"/>
    <w:rsid w:val="002C561E"/>
    <w:rsid w:val="002C783C"/>
    <w:rsid w:val="002F57D3"/>
    <w:rsid w:val="00311981"/>
    <w:rsid w:val="0033385C"/>
    <w:rsid w:val="0035122E"/>
    <w:rsid w:val="00364AF4"/>
    <w:rsid w:val="00373D5C"/>
    <w:rsid w:val="00386CD9"/>
    <w:rsid w:val="00392882"/>
    <w:rsid w:val="003B0734"/>
    <w:rsid w:val="003D2FD5"/>
    <w:rsid w:val="003E0979"/>
    <w:rsid w:val="003F7F7C"/>
    <w:rsid w:val="004328FF"/>
    <w:rsid w:val="00446311"/>
    <w:rsid w:val="00487B6E"/>
    <w:rsid w:val="004A361E"/>
    <w:rsid w:val="00530FF1"/>
    <w:rsid w:val="005533DA"/>
    <w:rsid w:val="00564B66"/>
    <w:rsid w:val="00572A45"/>
    <w:rsid w:val="00584D6A"/>
    <w:rsid w:val="005C3A16"/>
    <w:rsid w:val="005C3D1A"/>
    <w:rsid w:val="00634244"/>
    <w:rsid w:val="006506CC"/>
    <w:rsid w:val="00690961"/>
    <w:rsid w:val="006D3E53"/>
    <w:rsid w:val="006D7F4F"/>
    <w:rsid w:val="006E3BEF"/>
    <w:rsid w:val="00717AB8"/>
    <w:rsid w:val="007217D1"/>
    <w:rsid w:val="007530EF"/>
    <w:rsid w:val="007572AD"/>
    <w:rsid w:val="007B1DF9"/>
    <w:rsid w:val="007C6EB5"/>
    <w:rsid w:val="007E16CA"/>
    <w:rsid w:val="007E20F4"/>
    <w:rsid w:val="007E5053"/>
    <w:rsid w:val="00812227"/>
    <w:rsid w:val="00820A16"/>
    <w:rsid w:val="008228F3"/>
    <w:rsid w:val="00825475"/>
    <w:rsid w:val="00827CDA"/>
    <w:rsid w:val="00832B52"/>
    <w:rsid w:val="00857014"/>
    <w:rsid w:val="0086440D"/>
    <w:rsid w:val="00872F22"/>
    <w:rsid w:val="0089730F"/>
    <w:rsid w:val="008A4979"/>
    <w:rsid w:val="008D1334"/>
    <w:rsid w:val="008D7ED1"/>
    <w:rsid w:val="009137A6"/>
    <w:rsid w:val="00936B64"/>
    <w:rsid w:val="00944664"/>
    <w:rsid w:val="00960604"/>
    <w:rsid w:val="0098474C"/>
    <w:rsid w:val="009862B2"/>
    <w:rsid w:val="009B06F4"/>
    <w:rsid w:val="009C252E"/>
    <w:rsid w:val="00A1051E"/>
    <w:rsid w:val="00A15B2C"/>
    <w:rsid w:val="00A35A49"/>
    <w:rsid w:val="00AB68BF"/>
    <w:rsid w:val="00AE021C"/>
    <w:rsid w:val="00AF169F"/>
    <w:rsid w:val="00AF65BB"/>
    <w:rsid w:val="00B227C0"/>
    <w:rsid w:val="00B2553A"/>
    <w:rsid w:val="00B3486D"/>
    <w:rsid w:val="00B432CF"/>
    <w:rsid w:val="00B90733"/>
    <w:rsid w:val="00BA1B9F"/>
    <w:rsid w:val="00BA3B15"/>
    <w:rsid w:val="00C02419"/>
    <w:rsid w:val="00C0522C"/>
    <w:rsid w:val="00C14B4C"/>
    <w:rsid w:val="00C81229"/>
    <w:rsid w:val="00C875EE"/>
    <w:rsid w:val="00C92E6C"/>
    <w:rsid w:val="00CE13C6"/>
    <w:rsid w:val="00CE184C"/>
    <w:rsid w:val="00CF1AA1"/>
    <w:rsid w:val="00D0627F"/>
    <w:rsid w:val="00D459D3"/>
    <w:rsid w:val="00D57E95"/>
    <w:rsid w:val="00D706DF"/>
    <w:rsid w:val="00D8278F"/>
    <w:rsid w:val="00DA6451"/>
    <w:rsid w:val="00DE522C"/>
    <w:rsid w:val="00E1763C"/>
    <w:rsid w:val="00E21D11"/>
    <w:rsid w:val="00E302D4"/>
    <w:rsid w:val="00E34978"/>
    <w:rsid w:val="00E905CA"/>
    <w:rsid w:val="00EC0565"/>
    <w:rsid w:val="00EC7F37"/>
    <w:rsid w:val="00F12F8F"/>
    <w:rsid w:val="00F163D4"/>
    <w:rsid w:val="00F26444"/>
    <w:rsid w:val="00F2677C"/>
    <w:rsid w:val="00F53DD2"/>
    <w:rsid w:val="00F549B6"/>
    <w:rsid w:val="00F56206"/>
    <w:rsid w:val="00F744B9"/>
    <w:rsid w:val="00F76E43"/>
    <w:rsid w:val="00F83FF8"/>
    <w:rsid w:val="00F966C2"/>
    <w:rsid w:val="00FC10DA"/>
    <w:rsid w:val="00FF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9D3"/>
    <w:pPr>
      <w:tabs>
        <w:tab w:val="center" w:pos="4320"/>
        <w:tab w:val="right" w:pos="8640"/>
      </w:tabs>
    </w:pPr>
  </w:style>
  <w:style w:type="character" w:styleId="FootnoteReference">
    <w:name w:val="footnote reference"/>
    <w:aliases w:val="o,fr,Style 13,Style 12,Style 15,Style 17,Style 9,o1,fr1,o2,fr2,o3,fr3,Style 18,(NECG) Footnote Reference,Style 20,Style 7"/>
    <w:basedOn w:val="DefaultParagraphFont"/>
    <w:rsid w:val="00D459D3"/>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D459D3"/>
    <w:pPr>
      <w:spacing w:before="100" w:beforeAutospacing="1" w:after="100" w:afterAutospacing="1"/>
    </w:pPr>
  </w:style>
  <w:style w:type="character" w:styleId="Hyperlink">
    <w:name w:val="Hyperlink"/>
    <w:basedOn w:val="DefaultParagraphFont"/>
    <w:rsid w:val="00D459D3"/>
    <w:rPr>
      <w:color w:val="0000FF"/>
      <w:u w:val="single"/>
    </w:rPr>
  </w:style>
  <w:style w:type="paragraph" w:styleId="BalloonText">
    <w:name w:val="Balloon Text"/>
    <w:basedOn w:val="Normal"/>
    <w:semiHidden/>
    <w:rsid w:val="00D459D3"/>
    <w:rPr>
      <w:rFonts w:ascii="Tahoma" w:hAnsi="Tahoma" w:cs="Tahoma"/>
      <w:sz w:val="16"/>
      <w:szCs w:val="16"/>
    </w:rPr>
  </w:style>
  <w:style w:type="paragraph" w:customStyle="1" w:styleId="Default">
    <w:name w:val="Default"/>
    <w:rsid w:val="00D459D3"/>
    <w:pPr>
      <w:autoSpaceDE w:val="0"/>
      <w:autoSpaceDN w:val="0"/>
      <w:adjustRightInd w:val="0"/>
    </w:pPr>
    <w:rPr>
      <w:color w:val="000000"/>
      <w:sz w:val="24"/>
      <w:szCs w:val="24"/>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D459D3"/>
    <w:rPr>
      <w:sz w:val="24"/>
      <w:szCs w:val="24"/>
      <w:lang w:val="en-US" w:eastAsia="en-US" w:bidi="ar-SA"/>
    </w:rPr>
  </w:style>
  <w:style w:type="character" w:styleId="CommentReference">
    <w:name w:val="annotation reference"/>
    <w:basedOn w:val="DefaultParagraphFont"/>
    <w:semiHidden/>
    <w:rsid w:val="00D459D3"/>
    <w:rPr>
      <w:sz w:val="16"/>
      <w:szCs w:val="16"/>
    </w:rPr>
  </w:style>
  <w:style w:type="paragraph" w:styleId="CommentText">
    <w:name w:val="annotation text"/>
    <w:basedOn w:val="Normal"/>
    <w:semiHidden/>
    <w:rsid w:val="00D459D3"/>
    <w:rPr>
      <w:sz w:val="20"/>
      <w:szCs w:val="20"/>
    </w:rPr>
  </w:style>
  <w:style w:type="paragraph" w:styleId="CommentSubject">
    <w:name w:val="annotation subject"/>
    <w:basedOn w:val="CommentText"/>
    <w:next w:val="CommentText"/>
    <w:semiHidden/>
    <w:rsid w:val="00D459D3"/>
    <w:rPr>
      <w:b/>
      <w:bCs/>
    </w:rPr>
  </w:style>
  <w:style w:type="paragraph" w:styleId="ListParagraph">
    <w:name w:val="List Paragraph"/>
    <w:basedOn w:val="Normal"/>
    <w:uiPriority w:val="34"/>
    <w:qFormat/>
    <w:rsid w:val="002F57D3"/>
    <w:pPr>
      <w:ind w:left="720"/>
      <w:contextualSpacing/>
    </w:pPr>
  </w:style>
  <w:style w:type="paragraph" w:customStyle="1" w:styleId="Requirement">
    <w:name w:val="Requirement"/>
    <w:basedOn w:val="Default"/>
    <w:next w:val="Default"/>
    <w:link w:val="RequirementChar"/>
    <w:rsid w:val="00AE021C"/>
    <w:rPr>
      <w:color w:val="auto"/>
    </w:rPr>
  </w:style>
  <w:style w:type="paragraph" w:styleId="Footer">
    <w:name w:val="footer"/>
    <w:basedOn w:val="Normal"/>
    <w:link w:val="FooterChar"/>
    <w:uiPriority w:val="99"/>
    <w:unhideWhenUsed/>
    <w:rsid w:val="00E302D4"/>
    <w:pPr>
      <w:tabs>
        <w:tab w:val="center" w:pos="4680"/>
        <w:tab w:val="right" w:pos="9360"/>
      </w:tabs>
    </w:pPr>
  </w:style>
  <w:style w:type="character" w:customStyle="1" w:styleId="FooterChar">
    <w:name w:val="Footer Char"/>
    <w:basedOn w:val="DefaultParagraphFont"/>
    <w:link w:val="Footer"/>
    <w:uiPriority w:val="99"/>
    <w:rsid w:val="00E302D4"/>
    <w:rPr>
      <w:sz w:val="24"/>
      <w:szCs w:val="24"/>
    </w:rPr>
  </w:style>
  <w:style w:type="character" w:customStyle="1" w:styleId="RequirementChar">
    <w:name w:val="Requirement Char"/>
    <w:basedOn w:val="DefaultParagraphFont"/>
    <w:link w:val="Requirement"/>
    <w:rsid w:val="00F76E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CATCStandards@avistacorp.com" TargetMode="External"/><Relationship Id="rId5" Type="http://schemas.openxmlformats.org/officeDocument/2006/relationships/webSettings" Target="webSettings.xml"/><Relationship Id="rId10" Type="http://schemas.openxmlformats.org/officeDocument/2006/relationships/hyperlink" Target="mailto:NERCATCStandards@avistacorp.com" TargetMode="External"/><Relationship Id="rId4" Type="http://schemas.openxmlformats.org/officeDocument/2006/relationships/settings" Target="settings.xml"/><Relationship Id="rId9" Type="http://schemas.openxmlformats.org/officeDocument/2006/relationships/image" Target="http://avanet/companyresources/corpid/documents/logos/Avista_Blue_Pos_l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8839-CFF1-4783-A24F-5E4B8DA4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Practice: </vt:lpstr>
    </vt:vector>
  </TitlesOfParts>
  <Company>Portland General Electric</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 </dc:title>
  <dc:subject/>
  <dc:creator>Matt Richard</dc:creator>
  <cp:keywords/>
  <dc:description/>
  <cp:lastModifiedBy>Kenneth Dillon</cp:lastModifiedBy>
  <cp:revision>9</cp:revision>
  <cp:lastPrinted>2011-01-05T21:33:00Z</cp:lastPrinted>
  <dcterms:created xsi:type="dcterms:W3CDTF">2013-02-25T22:58:00Z</dcterms:created>
  <dcterms:modified xsi:type="dcterms:W3CDTF">2013-02-28T23:08:00Z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