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70" w:rsidRDefault="00483C83" w:rsidP="00D47D70">
      <w:r>
        <w:t xml:space="preserve">March </w:t>
      </w:r>
      <w:r w:rsidR="000A66E2">
        <w:t>1</w:t>
      </w:r>
      <w:r w:rsidR="00392EFE">
        <w:t>4</w:t>
      </w:r>
      <w:r>
        <w:t>, 201</w:t>
      </w:r>
      <w:r w:rsidR="00CB36B9">
        <w:t>8</w:t>
      </w:r>
    </w:p>
    <w:p w:rsidR="00E0592A" w:rsidRDefault="00E0592A" w:rsidP="00D47D70"/>
    <w:p w:rsidR="00D47D70" w:rsidRDefault="00D47D70" w:rsidP="00D47D70">
      <w:r>
        <w:t>The Honorable Kimberly D. Bose</w:t>
      </w:r>
    </w:p>
    <w:p w:rsidR="00D47D70" w:rsidRDefault="00D47D70" w:rsidP="00D47D70">
      <w:r>
        <w:t>Secretary</w:t>
      </w:r>
    </w:p>
    <w:p w:rsidR="00D47D70" w:rsidRDefault="00D47D70" w:rsidP="00D47D70">
      <w:r>
        <w:t>Federal Energy Regulatory Commission</w:t>
      </w:r>
    </w:p>
    <w:p w:rsidR="00D47D70" w:rsidRDefault="00D47D70" w:rsidP="00D47D70">
      <w:r>
        <w:t>888 First Street, N.E.</w:t>
      </w:r>
    </w:p>
    <w:p w:rsidR="00D47D70" w:rsidRDefault="00D47D70" w:rsidP="00D47D70">
      <w:r>
        <w:t>Washington, DC 20426</w:t>
      </w:r>
    </w:p>
    <w:p w:rsidR="00D47D70" w:rsidRDefault="00E0592A" w:rsidP="00483C83">
      <w:pPr>
        <w:tabs>
          <w:tab w:val="left" w:pos="1342"/>
        </w:tabs>
      </w:pPr>
      <w:r>
        <w:tab/>
      </w:r>
    </w:p>
    <w:p w:rsidR="00D47D70" w:rsidRDefault="00D47D70" w:rsidP="00D47D70">
      <w:pPr>
        <w:rPr>
          <w:b/>
        </w:rPr>
      </w:pPr>
      <w:r>
        <w:tab/>
      </w:r>
      <w:r>
        <w:rPr>
          <w:b/>
        </w:rPr>
        <w:t>Re:</w:t>
      </w:r>
      <w:r>
        <w:rPr>
          <w:b/>
        </w:rPr>
        <w:tab/>
      </w:r>
      <w:r w:rsidR="00483C83">
        <w:rPr>
          <w:b/>
          <w:i/>
        </w:rPr>
        <w:t xml:space="preserve">Cleco Power LLC, </w:t>
      </w:r>
      <w:r>
        <w:rPr>
          <w:b/>
        </w:rPr>
        <w:t xml:space="preserve">Docket No. </w:t>
      </w:r>
      <w:r w:rsidR="001A2911">
        <w:rPr>
          <w:b/>
        </w:rPr>
        <w:t>ER1</w:t>
      </w:r>
      <w:r w:rsidR="00CB36B9">
        <w:rPr>
          <w:b/>
        </w:rPr>
        <w:t>8</w:t>
      </w:r>
      <w:r w:rsidR="001A2911">
        <w:rPr>
          <w:b/>
        </w:rPr>
        <w:t>-</w:t>
      </w:r>
      <w:r w:rsidR="00CB5395">
        <w:rPr>
          <w:b/>
        </w:rPr>
        <w:t>9</w:t>
      </w:r>
      <w:bookmarkStart w:id="0" w:name="_GoBack"/>
      <w:bookmarkEnd w:id="0"/>
      <w:r w:rsidR="00C863D3">
        <w:rPr>
          <w:b/>
        </w:rPr>
        <w:t>99</w:t>
      </w:r>
      <w:r w:rsidR="001A2911">
        <w:rPr>
          <w:b/>
        </w:rPr>
        <w:t>-000</w:t>
      </w:r>
    </w:p>
    <w:p w:rsidR="00D47D70" w:rsidRDefault="00D47D70" w:rsidP="00D47D70">
      <w:r>
        <w:rPr>
          <w:b/>
        </w:rPr>
        <w:tab/>
      </w:r>
      <w:r>
        <w:rPr>
          <w:b/>
        </w:rPr>
        <w:tab/>
      </w:r>
      <w:r>
        <w:t>Informational Filing of Annual Formula Rate Update</w:t>
      </w:r>
    </w:p>
    <w:p w:rsidR="00D47D70" w:rsidRDefault="00D47D70" w:rsidP="00D47D70"/>
    <w:p w:rsidR="00D47D70" w:rsidRDefault="00D47D70" w:rsidP="00483C83">
      <w:pPr>
        <w:tabs>
          <w:tab w:val="left" w:pos="3236"/>
        </w:tabs>
      </w:pPr>
      <w:r>
        <w:t>Dear Secretary Bose:</w:t>
      </w:r>
      <w:r w:rsidR="00E0592A">
        <w:tab/>
      </w:r>
    </w:p>
    <w:p w:rsidR="00D47D70" w:rsidRDefault="00D47D70" w:rsidP="00D47D70"/>
    <w:p w:rsidR="00D47D70" w:rsidRDefault="00D47D70" w:rsidP="00D47D70">
      <w:r>
        <w:tab/>
      </w:r>
      <w:r w:rsidR="00347C92">
        <w:t>P</w:t>
      </w:r>
      <w:r>
        <w:t xml:space="preserve">ursuant to the Federal Energy Regulatory Commission’s </w:t>
      </w:r>
      <w:r w:rsidR="00623D7C">
        <w:t xml:space="preserve">(“Commission”) </w:t>
      </w:r>
      <w:r>
        <w:t>orders in Docket Nos. EL12-35</w:t>
      </w:r>
      <w:r w:rsidR="00BD1DE8">
        <w:rPr>
          <w:rStyle w:val="FootnoteReference"/>
        </w:rPr>
        <w:footnoteReference w:id="1"/>
      </w:r>
      <w:r>
        <w:t xml:space="preserve"> and ER13-2379</w:t>
      </w:r>
      <w:r w:rsidR="00347C92">
        <w:rPr>
          <w:rStyle w:val="FootnoteReference"/>
        </w:rPr>
        <w:footnoteReference w:id="2"/>
      </w:r>
      <w:r>
        <w:t xml:space="preserve"> and </w:t>
      </w:r>
      <w:r w:rsidR="00347C92">
        <w:t xml:space="preserve">the </w:t>
      </w:r>
      <w:r>
        <w:t xml:space="preserve">formula rate protocols </w:t>
      </w:r>
      <w:r w:rsidR="00347C92">
        <w:t>set forth</w:t>
      </w:r>
      <w:r>
        <w:t xml:space="preserve"> in Attachment O of the Midcontinent Independent System Operator, Inc.’s (“MISO”) Open Access Transmission, Energy and Operating Reserve Markets Tariff (“Tariff”), </w:t>
      </w:r>
      <w:r w:rsidR="00483C83">
        <w:t xml:space="preserve">Cleco Power LLC </w:t>
      </w:r>
      <w:r w:rsidR="003B66B0">
        <w:t>(“</w:t>
      </w:r>
      <w:r w:rsidR="00483C83">
        <w:t>Cleco</w:t>
      </w:r>
      <w:r w:rsidR="003B66B0">
        <w:t>”)</w:t>
      </w:r>
      <w:r w:rsidR="00347C92">
        <w:t xml:space="preserve">, </w:t>
      </w:r>
      <w:r>
        <w:t xml:space="preserve">submits for informational purposes this letter and supporting materials </w:t>
      </w:r>
      <w:r w:rsidR="003D0D81">
        <w:t xml:space="preserve">(“Informational Filing”) </w:t>
      </w:r>
      <w:r>
        <w:t xml:space="preserve">that reflect </w:t>
      </w:r>
      <w:proofErr w:type="spellStart"/>
      <w:r w:rsidR="00483C83">
        <w:t>Cleco</w:t>
      </w:r>
      <w:r w:rsidR="003B66B0" w:rsidRPr="003B66B0">
        <w:t>’s</w:t>
      </w:r>
      <w:proofErr w:type="spellEnd"/>
      <w:r>
        <w:t xml:space="preserve"> </w:t>
      </w:r>
      <w:r w:rsidR="002539F5">
        <w:t>A</w:t>
      </w:r>
      <w:r w:rsidRPr="00685E0B">
        <w:t xml:space="preserve">nnual </w:t>
      </w:r>
      <w:r w:rsidR="002539F5">
        <w:t>T</w:t>
      </w:r>
      <w:r w:rsidRPr="00685E0B">
        <w:t xml:space="preserve">ransmission </w:t>
      </w:r>
      <w:r w:rsidR="002539F5">
        <w:t>R</w:t>
      </w:r>
      <w:r w:rsidRPr="00685E0B">
        <w:t>evenue</w:t>
      </w:r>
      <w:r>
        <w:t xml:space="preserve"> </w:t>
      </w:r>
      <w:r w:rsidR="002539F5">
        <w:t>R</w:t>
      </w:r>
      <w:r>
        <w:t xml:space="preserve">equirement </w:t>
      </w:r>
      <w:r w:rsidR="00347C92">
        <w:t xml:space="preserve">effective </w:t>
      </w:r>
      <w:r w:rsidR="00483C83">
        <w:t>June 1, 201</w:t>
      </w:r>
      <w:r w:rsidR="00CB36B9">
        <w:t>7</w:t>
      </w:r>
      <w:r w:rsidR="00483C83">
        <w:t xml:space="preserve">, </w:t>
      </w:r>
      <w:r>
        <w:t xml:space="preserve">under Attachment O of the MISO Tariff.  The </w:t>
      </w:r>
      <w:r w:rsidR="00685E0B">
        <w:t xml:space="preserve">Annual </w:t>
      </w:r>
      <w:r w:rsidR="002539F5">
        <w:t xml:space="preserve">Transmission Revenue Requirement </w:t>
      </w:r>
      <w:r>
        <w:t xml:space="preserve">is based on </w:t>
      </w:r>
      <w:r w:rsidR="00685E0B" w:rsidRPr="00685E0B">
        <w:t>a</w:t>
      </w:r>
      <w:r w:rsidRPr="00685E0B">
        <w:t>ctual</w:t>
      </w:r>
      <w:r w:rsidR="00685E0B" w:rsidRPr="00685E0B">
        <w:t xml:space="preserve"> </w:t>
      </w:r>
      <w:r w:rsidRPr="00685E0B">
        <w:t>cost data</w:t>
      </w:r>
      <w:r>
        <w:t xml:space="preserve"> for calendar year </w:t>
      </w:r>
      <w:r w:rsidR="00483C83">
        <w:t>201</w:t>
      </w:r>
      <w:r w:rsidR="00CB36B9">
        <w:t>6</w:t>
      </w:r>
      <w:r w:rsidR="00483C83">
        <w:t xml:space="preserve"> </w:t>
      </w:r>
      <w:r w:rsidRPr="00685E0B">
        <w:t xml:space="preserve">as reported in </w:t>
      </w:r>
      <w:proofErr w:type="spellStart"/>
      <w:r w:rsidR="00483C83">
        <w:t>Cleco’s</w:t>
      </w:r>
      <w:proofErr w:type="spellEnd"/>
      <w:r w:rsidR="00483C83">
        <w:t xml:space="preserve"> 201</w:t>
      </w:r>
      <w:r w:rsidR="000131D9">
        <w:t>6</w:t>
      </w:r>
      <w:r w:rsidR="00483C83">
        <w:t xml:space="preserve"> FERC Form 1</w:t>
      </w:r>
      <w:r w:rsidR="00685E0B">
        <w:t>,</w:t>
      </w:r>
      <w:r w:rsidR="00986E0A">
        <w:t xml:space="preserve"> </w:t>
      </w:r>
      <w:r w:rsidR="00347C92">
        <w:t xml:space="preserve">pursuant to the </w:t>
      </w:r>
      <w:r w:rsidR="00623D7C">
        <w:t>Commission-</w:t>
      </w:r>
      <w:r w:rsidR="00347C92">
        <w:t>approved formula rate contained in Attachment O of the MISO Tariff.</w:t>
      </w:r>
    </w:p>
    <w:p w:rsidR="00347C92" w:rsidRDefault="00347C92" w:rsidP="00D47D70"/>
    <w:p w:rsidR="00347C92" w:rsidRDefault="00347C92" w:rsidP="00D47D70">
      <w:pPr>
        <w:rPr>
          <w:u w:val="single"/>
        </w:rPr>
      </w:pPr>
      <w:r>
        <w:rPr>
          <w:b/>
        </w:rPr>
        <w:t>I.</w:t>
      </w:r>
      <w:r>
        <w:rPr>
          <w:b/>
        </w:rPr>
        <w:tab/>
      </w:r>
      <w:r w:rsidR="00076E0C">
        <w:rPr>
          <w:b/>
        </w:rPr>
        <w:t>BACKGROUND</w:t>
      </w:r>
    </w:p>
    <w:p w:rsidR="00347C92" w:rsidRDefault="00347C92" w:rsidP="00D47D70">
      <w:pPr>
        <w:rPr>
          <w:u w:val="single"/>
        </w:rPr>
      </w:pPr>
    </w:p>
    <w:p w:rsidR="008E0C67" w:rsidRDefault="00BD1DE8" w:rsidP="008E0C67">
      <w:r>
        <w:tab/>
        <w:t xml:space="preserve">In its May 2012 Order, the Commission initiated an investigation </w:t>
      </w:r>
      <w:r w:rsidR="00582BE3">
        <w:t>pursuant to section 206 of the Federal Power Act, 16 U.S.C. § 824e, to determine whether the formula rate protocols in MISO’s Tariff are sufficient to ensure just and reasonable rates.</w:t>
      </w:r>
      <w:r w:rsidR="00582BE3">
        <w:rPr>
          <w:rStyle w:val="FootnoteReference"/>
        </w:rPr>
        <w:footnoteReference w:id="3"/>
      </w:r>
      <w:r w:rsidR="00582BE3">
        <w:t xml:space="preserve">  After considering briefs filed by several parties, the Commission issued its May 2013 Order, finding that the formula rate protocols contained in MISO’s Tariff are insufficient to ensure just and reasonable rates, and directing MISO and the identified MISO transmission owners to file revised formula rate protocols to </w:t>
      </w:r>
      <w:r w:rsidR="008E0C67">
        <w:t xml:space="preserve">enhance </w:t>
      </w:r>
      <w:r w:rsidR="008E0C67">
        <w:rPr>
          <w:color w:val="000000"/>
        </w:rPr>
        <w:t xml:space="preserve">the </w:t>
      </w:r>
      <w:r w:rsidR="008E0C67">
        <w:t xml:space="preserve">scope of participation by interested parties, increase transparency in the information provided to </w:t>
      </w:r>
      <w:r w:rsidR="002B5E5A">
        <w:t>i</w:t>
      </w:r>
      <w:r w:rsidR="008E0C67">
        <w:t xml:space="preserve">nterested </w:t>
      </w:r>
      <w:r w:rsidR="002B5E5A">
        <w:t>p</w:t>
      </w:r>
      <w:r w:rsidR="008E0C67">
        <w:t xml:space="preserve">arties, adopt procedures by which </w:t>
      </w:r>
      <w:r w:rsidR="002B5E5A">
        <w:t>i</w:t>
      </w:r>
      <w:r w:rsidR="008E0C67">
        <w:t xml:space="preserve">nterested </w:t>
      </w:r>
      <w:r w:rsidR="002B5E5A">
        <w:t>p</w:t>
      </w:r>
      <w:r w:rsidR="008E0C67">
        <w:t xml:space="preserve">arties can challenge a </w:t>
      </w:r>
      <w:r w:rsidR="002B5E5A">
        <w:t>t</w:t>
      </w:r>
      <w:r w:rsidR="008E0C67">
        <w:t xml:space="preserve">ransmission </w:t>
      </w:r>
      <w:r w:rsidR="002B5E5A">
        <w:t>o</w:t>
      </w:r>
      <w:r w:rsidR="008E0C67">
        <w:t xml:space="preserve">wner’s implementation of its formula rate, and establish a </w:t>
      </w:r>
      <w:r w:rsidR="008E0C67">
        <w:lastRenderedPageBreak/>
        <w:t>requirement that MISO and transmission owners make an annual informational filing with the Commission.</w:t>
      </w:r>
      <w:r w:rsidR="008E0C67">
        <w:rPr>
          <w:rStyle w:val="FootnoteReference"/>
        </w:rPr>
        <w:footnoteReference w:id="4"/>
      </w:r>
      <w:r w:rsidR="008E0C67">
        <w:t xml:space="preserve">  </w:t>
      </w:r>
    </w:p>
    <w:p w:rsidR="008E0C67" w:rsidRDefault="008E0C67" w:rsidP="008E0C67"/>
    <w:p w:rsidR="00E771CE" w:rsidRDefault="008E0C67" w:rsidP="00C07475">
      <w:r>
        <w:tab/>
        <w:t xml:space="preserve">With regard to the annual informational filing, the Commission </w:t>
      </w:r>
      <w:r>
        <w:rPr>
          <w:color w:val="000000" w:themeColor="text1"/>
          <w:szCs w:val="24"/>
        </w:rPr>
        <w:t xml:space="preserve">required the submission of </w:t>
      </w:r>
      <w:r>
        <w:t>“annual informational filings of [</w:t>
      </w:r>
      <w:r w:rsidR="006D20D4">
        <w:t>each</w:t>
      </w:r>
      <w:r>
        <w:t xml:space="preserve"> transmission owner’s] formula rate update</w:t>
      </w:r>
      <w:r w:rsidR="001A2911">
        <w:t>s</w:t>
      </w:r>
      <w:r>
        <w:t xml:space="preserve"> . . . following the time period allowed for parties to review the updates and for transmission owners to respond to information and document requests.”</w:t>
      </w:r>
      <w:r>
        <w:rPr>
          <w:rStyle w:val="FootnoteReference"/>
        </w:rPr>
        <w:footnoteReference w:id="5"/>
      </w:r>
      <w:r w:rsidR="00C07475" w:rsidDel="00C07475">
        <w:t xml:space="preserve"> </w:t>
      </w:r>
      <w:r w:rsidR="00A564CD">
        <w:t xml:space="preserve"> </w:t>
      </w:r>
      <w:r w:rsidR="00E771CE">
        <w:t>The Commission stressed that these filings would “be just that, informational,”</w:t>
      </w:r>
      <w:r w:rsidR="00E771CE">
        <w:rPr>
          <w:rStyle w:val="FootnoteReference"/>
        </w:rPr>
        <w:footnoteReference w:id="6"/>
      </w:r>
      <w:r w:rsidR="00E771CE">
        <w:t xml:space="preserve"> that they “are not themselves rates and do not constitute changes in the underlying rate itself.”</w:t>
      </w:r>
      <w:bookmarkStart w:id="1" w:name="_Ref364411146"/>
      <w:r w:rsidR="00E771CE">
        <w:rPr>
          <w:rStyle w:val="FootnoteReference"/>
        </w:rPr>
        <w:footnoteReference w:id="7"/>
      </w:r>
      <w:bookmarkEnd w:id="1"/>
    </w:p>
    <w:p w:rsidR="008E0C67" w:rsidRDefault="008E0C67" w:rsidP="00D47D70"/>
    <w:p w:rsidR="00CD465B" w:rsidRDefault="00CD465B" w:rsidP="00D47D70">
      <w:r>
        <w:tab/>
        <w:t>In its March 2014 Order, the Commission “require[d] all MISO transmission owners to submit informational filings in separate docket numbers”</w:t>
      </w:r>
      <w:r w:rsidR="00076E0C">
        <w:rPr>
          <w:rStyle w:val="FootnoteReference"/>
        </w:rPr>
        <w:footnoteReference w:id="8"/>
      </w:r>
      <w:r>
        <w:t xml:space="preserve"> and stated that “formal challenges should be filed in the same docket as the informational filing.”</w:t>
      </w:r>
      <w:r>
        <w:rPr>
          <w:rStyle w:val="FootnoteReference"/>
        </w:rPr>
        <w:footnoteReference w:id="9"/>
      </w:r>
      <w:r>
        <w:t xml:space="preserve">  </w:t>
      </w:r>
      <w:r w:rsidR="00076E0C">
        <w:t>The Commission also “direct[</w:t>
      </w:r>
      <w:proofErr w:type="spellStart"/>
      <w:r w:rsidR="00076E0C">
        <w:t>ed</w:t>
      </w:r>
      <w:proofErr w:type="spellEnd"/>
      <w:r w:rsidR="00076E0C">
        <w:t xml:space="preserve">] MISO to provide notification of the filing through the email ‘exploder’ list to be maintained by MISO, and by posting the docket number assigned to each transmission owner’s informational filing on the MISO website and </w:t>
      </w:r>
      <w:r w:rsidR="00D81C82">
        <w:t>[</w:t>
      </w:r>
      <w:r w:rsidR="00061E97">
        <w:t>Open Access Same-Time Information System (“</w:t>
      </w:r>
      <w:r w:rsidR="00076E0C">
        <w:t>OASIS</w:t>
      </w:r>
      <w:r w:rsidR="00061E97">
        <w:t>”)</w:t>
      </w:r>
      <w:r w:rsidR="00D81C82">
        <w:t>]</w:t>
      </w:r>
      <w:r w:rsidR="00076E0C">
        <w:t xml:space="preserve"> within five days of such filing.”</w:t>
      </w:r>
      <w:r w:rsidR="00076E0C">
        <w:rPr>
          <w:rStyle w:val="FootnoteReference"/>
        </w:rPr>
        <w:footnoteReference w:id="10"/>
      </w:r>
    </w:p>
    <w:p w:rsidR="0062006D" w:rsidRDefault="0062006D" w:rsidP="00D47D70"/>
    <w:p w:rsidR="00CD465B" w:rsidRPr="00076E0C" w:rsidRDefault="00076E0C" w:rsidP="00D47D70">
      <w:pPr>
        <w:rPr>
          <w:b/>
        </w:rPr>
      </w:pPr>
      <w:r>
        <w:rPr>
          <w:b/>
        </w:rPr>
        <w:t>II.</w:t>
      </w:r>
      <w:r>
        <w:rPr>
          <w:b/>
        </w:rPr>
        <w:tab/>
        <w:t>INFORMATIONAL FILING</w:t>
      </w:r>
    </w:p>
    <w:p w:rsidR="00CD465B" w:rsidRDefault="00CD465B" w:rsidP="00D47D70"/>
    <w:p w:rsidR="008F25E4" w:rsidRDefault="00076E0C" w:rsidP="00076E0C">
      <w:pPr>
        <w:ind w:firstLine="720"/>
      </w:pPr>
      <w:r>
        <w:t xml:space="preserve">Section VI </w:t>
      </w:r>
      <w:r w:rsidRPr="00156F26">
        <w:t>of the f</w:t>
      </w:r>
      <w:r>
        <w:t>ormula rate protocols set forth in Attachment O of the MISO Tariff provide</w:t>
      </w:r>
      <w:r w:rsidR="00FC082B">
        <w:t>s</w:t>
      </w:r>
      <w:r>
        <w:t xml:space="preserve"> that, </w:t>
      </w:r>
      <w:r w:rsidR="00B806C5">
        <w:t>by</w:t>
      </w:r>
      <w:r>
        <w:t xml:space="preserve"> March 15 of each year, </w:t>
      </w:r>
      <w:r w:rsidR="00483C83">
        <w:t xml:space="preserve">Cleco </w:t>
      </w:r>
      <w:r>
        <w:t>shall submit an annual informational filing to the Commission including information that is reasonably necessary to determine:</w:t>
      </w:r>
    </w:p>
    <w:p w:rsidR="00076E0C" w:rsidRDefault="00076E0C" w:rsidP="00076E0C"/>
    <w:p w:rsidR="00076E0C" w:rsidRDefault="00076E0C" w:rsidP="00076E0C">
      <w:pPr>
        <w:pStyle w:val="ListParagraph"/>
        <w:numPr>
          <w:ilvl w:val="0"/>
          <w:numId w:val="6"/>
        </w:numPr>
        <w:ind w:left="1800"/>
      </w:pPr>
      <w:r>
        <w:t xml:space="preserve">That input data under the formula rate are properly recorded in the underlying </w:t>
      </w:r>
      <w:proofErr w:type="spellStart"/>
      <w:r>
        <w:t>workpapers</w:t>
      </w:r>
      <w:proofErr w:type="spellEnd"/>
      <w:r>
        <w:t>;</w:t>
      </w:r>
    </w:p>
    <w:p w:rsidR="00076E0C" w:rsidRDefault="00076E0C" w:rsidP="00076E0C">
      <w:pPr>
        <w:pStyle w:val="ListParagraph"/>
        <w:numPr>
          <w:ilvl w:val="0"/>
          <w:numId w:val="6"/>
        </w:numPr>
        <w:ind w:left="1800"/>
      </w:pPr>
      <w:r>
        <w:t xml:space="preserve">That </w:t>
      </w:r>
      <w:r w:rsidR="00483C83">
        <w:t xml:space="preserve">Cleco </w:t>
      </w:r>
      <w:r>
        <w:t>has properly applied the formula rate and the protocol procedures;</w:t>
      </w:r>
    </w:p>
    <w:p w:rsidR="00076E0C" w:rsidRPr="00156F26" w:rsidRDefault="00076E0C" w:rsidP="00076E0C">
      <w:pPr>
        <w:pStyle w:val="ListParagraph"/>
        <w:numPr>
          <w:ilvl w:val="0"/>
          <w:numId w:val="6"/>
        </w:numPr>
        <w:ind w:left="1800"/>
      </w:pPr>
      <w:r>
        <w:t xml:space="preserve">The </w:t>
      </w:r>
      <w:r w:rsidRPr="00156F26">
        <w:t xml:space="preserve">accuracy of data and the consistency with the formula rate of the Actual Transmission Revenue Requirement and rates under review; </w:t>
      </w:r>
      <w:r w:rsidR="00156F26" w:rsidRPr="00156F26">
        <w:t>and</w:t>
      </w:r>
    </w:p>
    <w:p w:rsidR="00076E0C" w:rsidRPr="00156F26" w:rsidRDefault="00076E0C" w:rsidP="00076E0C">
      <w:pPr>
        <w:pStyle w:val="ListParagraph"/>
        <w:numPr>
          <w:ilvl w:val="0"/>
          <w:numId w:val="6"/>
        </w:numPr>
        <w:ind w:left="1800"/>
      </w:pPr>
      <w:r w:rsidRPr="00156F26">
        <w:lastRenderedPageBreak/>
        <w:t>The extent</w:t>
      </w:r>
      <w:r>
        <w:t xml:space="preserve"> of accounting changes that affect the formula rate inputs</w:t>
      </w:r>
      <w:r w:rsidR="00156F26">
        <w:t>.</w:t>
      </w:r>
      <w:r>
        <w:t xml:space="preserve"> </w:t>
      </w:r>
    </w:p>
    <w:p w:rsidR="00076E0C" w:rsidRDefault="00076E0C" w:rsidP="00076E0C">
      <w:pPr>
        <w:pStyle w:val="ListParagraph"/>
        <w:ind w:left="1800"/>
      </w:pPr>
    </w:p>
    <w:p w:rsidR="00EC4756" w:rsidRDefault="002B3CF5" w:rsidP="002B3CF5">
      <w:pPr>
        <w:pStyle w:val="ListParagraph"/>
        <w:ind w:left="0"/>
      </w:pPr>
      <w:r>
        <w:tab/>
        <w:t xml:space="preserve">The protocols also require that the informational filing must describe any corrections or adjustments made during the information exchange and informal challenge periods, and must describe all aspects of the formula rate or its inputs that are the subject </w:t>
      </w:r>
      <w:r w:rsidRPr="00156F26">
        <w:t xml:space="preserve">of an ongoing dispute under the </w:t>
      </w:r>
      <w:r w:rsidR="006D20D4" w:rsidRPr="00156F26">
        <w:t>i</w:t>
      </w:r>
      <w:r w:rsidRPr="00156F26">
        <w:t xml:space="preserve">nformal or </w:t>
      </w:r>
      <w:r w:rsidR="006D20D4" w:rsidRPr="00156F26">
        <w:t>f</w:t>
      </w:r>
      <w:r w:rsidRPr="00156F26">
        <w:t xml:space="preserve">ormal </w:t>
      </w:r>
      <w:r w:rsidR="006D20D4" w:rsidRPr="00156F26">
        <w:t>c</w:t>
      </w:r>
      <w:r w:rsidRPr="00156F26">
        <w:t xml:space="preserve">hallenge procedures.  </w:t>
      </w:r>
      <w:r w:rsidR="00EC4756" w:rsidRPr="00156F26">
        <w:t>Section IV.F of th</w:t>
      </w:r>
      <w:r w:rsidR="00447AA2">
        <w:t>e formula rate protocols specifies</w:t>
      </w:r>
      <w:r w:rsidR="00EC4756" w:rsidRPr="00156F26">
        <w:t xml:space="preserve"> that any changes or adjustments to the annual update resulting from the information exchange and informal challenge processes that are agreed to by </w:t>
      </w:r>
      <w:r w:rsidR="00483C83">
        <w:t xml:space="preserve">Cleco </w:t>
      </w:r>
      <w:r w:rsidR="00EC4756" w:rsidRPr="00156F26">
        <w:t>will be reported in the informational filing and will be reflected in the annual update for the following rate year.</w:t>
      </w:r>
    </w:p>
    <w:p w:rsidR="00EC4756" w:rsidRDefault="00EC4756" w:rsidP="002B3CF5">
      <w:pPr>
        <w:pStyle w:val="ListParagraph"/>
        <w:ind w:left="0"/>
      </w:pPr>
    </w:p>
    <w:p w:rsidR="002B3CF5" w:rsidRDefault="002B3CF5" w:rsidP="00076E0C">
      <w:pPr>
        <w:pStyle w:val="ListParagraph"/>
        <w:ind w:left="0"/>
      </w:pPr>
      <w:r>
        <w:t xml:space="preserve">In response to these requirements, </w:t>
      </w:r>
      <w:r w:rsidR="00483C83">
        <w:t xml:space="preserve">Cleco </w:t>
      </w:r>
      <w:r>
        <w:t>provides the following:</w:t>
      </w:r>
      <w:r w:rsidR="008574AC">
        <w:rPr>
          <w:rStyle w:val="FootnoteReference"/>
        </w:rPr>
        <w:footnoteReference w:id="11"/>
      </w:r>
    </w:p>
    <w:p w:rsidR="002B3CF5" w:rsidRDefault="002B3CF5" w:rsidP="00076E0C">
      <w:pPr>
        <w:pStyle w:val="ListParagraph"/>
        <w:ind w:left="0"/>
      </w:pPr>
    </w:p>
    <w:p w:rsidR="002B3CF5" w:rsidRDefault="002B3CF5" w:rsidP="002B3CF5">
      <w:pPr>
        <w:ind w:left="2610" w:hanging="1890"/>
      </w:pPr>
      <w:r>
        <w:t xml:space="preserve">Attachment </w:t>
      </w:r>
      <w:r w:rsidR="00423798" w:rsidRPr="007F0FD9">
        <w:t>A</w:t>
      </w:r>
      <w:r>
        <w:t xml:space="preserve">: </w:t>
      </w:r>
      <w:r>
        <w:tab/>
        <w:t xml:space="preserve">Populated formula rate template showing </w:t>
      </w:r>
      <w:proofErr w:type="spellStart"/>
      <w:r w:rsidR="00483C83">
        <w:t>Cleco</w:t>
      </w:r>
      <w:r w:rsidR="003B66B0">
        <w:t>’s</w:t>
      </w:r>
      <w:proofErr w:type="spellEnd"/>
      <w:r>
        <w:t xml:space="preserve"> </w:t>
      </w:r>
      <w:r w:rsidRPr="00156F26">
        <w:t xml:space="preserve">actual </w:t>
      </w:r>
      <w:r w:rsidR="00156F26" w:rsidRPr="00156F26">
        <w:t xml:space="preserve">transmission </w:t>
      </w:r>
      <w:r w:rsidRPr="00156F26">
        <w:t>revenue requirement effective</w:t>
      </w:r>
      <w:r>
        <w:t xml:space="preserve"> </w:t>
      </w:r>
      <w:r w:rsidR="00423798">
        <w:t>June 1, 201</w:t>
      </w:r>
      <w:r w:rsidR="00CB36B9">
        <w:t>7</w:t>
      </w:r>
      <w:r w:rsidR="00206F84">
        <w:t xml:space="preserve"> as well as all supporting documentation and </w:t>
      </w:r>
      <w:proofErr w:type="spellStart"/>
      <w:r w:rsidR="00206F84">
        <w:t>workpapers</w:t>
      </w:r>
      <w:proofErr w:type="spellEnd"/>
      <w:r w:rsidR="00206F84">
        <w:t xml:space="preserve"> of all inputs that are not available on the Attachment O template.</w:t>
      </w:r>
    </w:p>
    <w:p w:rsidR="002B3CF5" w:rsidRDefault="002B3CF5" w:rsidP="002B3CF5">
      <w:pPr>
        <w:ind w:left="2610" w:hanging="1890"/>
      </w:pPr>
    </w:p>
    <w:p w:rsidR="002B3CF5" w:rsidRDefault="002B3CF5" w:rsidP="002B3CF5">
      <w:pPr>
        <w:ind w:left="2610" w:hanging="1890"/>
      </w:pPr>
    </w:p>
    <w:p w:rsidR="002B3CF5" w:rsidRDefault="002B3CF5" w:rsidP="002B3CF5">
      <w:pPr>
        <w:ind w:left="2610" w:hanging="1890"/>
      </w:pPr>
    </w:p>
    <w:p w:rsidR="002B3CF5" w:rsidRDefault="002B3CF5" w:rsidP="002B3CF5">
      <w:pPr>
        <w:ind w:left="2610" w:hanging="1890"/>
      </w:pPr>
      <w:r>
        <w:t xml:space="preserve">Attachment </w:t>
      </w:r>
      <w:r w:rsidR="00423798">
        <w:t>B</w:t>
      </w:r>
      <w:r>
        <w:t>:</w:t>
      </w:r>
      <w:r>
        <w:tab/>
        <w:t>Corrections or adjustments made during the information exchange or informal challenge process</w:t>
      </w:r>
      <w:r w:rsidR="00D81C82">
        <w:t>.</w:t>
      </w:r>
      <w:r w:rsidR="009D3BF9">
        <w:t xml:space="preserve"> An updated Attachment O with supporting documentation and </w:t>
      </w:r>
      <w:proofErr w:type="spellStart"/>
      <w:r w:rsidR="009D3BF9">
        <w:t>workpapers</w:t>
      </w:r>
      <w:proofErr w:type="spellEnd"/>
      <w:r w:rsidR="009D3BF9">
        <w:t xml:space="preserve"> of all inputs </w:t>
      </w:r>
      <w:proofErr w:type="gramStart"/>
      <w:r w:rsidR="009D3BF9">
        <w:t>that are</w:t>
      </w:r>
      <w:proofErr w:type="gramEnd"/>
      <w:r w:rsidR="009D3BF9">
        <w:t xml:space="preserve"> not available on the Attachment O template.</w:t>
      </w:r>
    </w:p>
    <w:p w:rsidR="00EC4756" w:rsidRDefault="00EC4756" w:rsidP="002B3CF5">
      <w:pPr>
        <w:ind w:left="2610" w:hanging="1890"/>
      </w:pPr>
    </w:p>
    <w:p w:rsidR="001A6F0D" w:rsidRDefault="001A6F0D" w:rsidP="00076E0C">
      <w:pPr>
        <w:pStyle w:val="ListParagraph"/>
        <w:ind w:left="0"/>
        <w:rPr>
          <w:b/>
        </w:rPr>
      </w:pPr>
    </w:p>
    <w:p w:rsidR="00101F06" w:rsidRDefault="00A564CD" w:rsidP="001A6F0D">
      <w:pPr>
        <w:pStyle w:val="ListParagraph"/>
        <w:ind w:left="0" w:firstLine="720"/>
      </w:pPr>
      <w:r w:rsidRPr="00156F26">
        <w:t>The Attachment O</w:t>
      </w:r>
      <w:r w:rsidR="00156F26" w:rsidRPr="00156F26">
        <w:t xml:space="preserve"> </w:t>
      </w:r>
      <w:r w:rsidRPr="00156F26">
        <w:t>formula</w:t>
      </w:r>
      <w:r>
        <w:t xml:space="preserve"> rate protocols require that </w:t>
      </w:r>
      <w:proofErr w:type="spellStart"/>
      <w:r w:rsidR="00483C83">
        <w:t>Cleco</w:t>
      </w:r>
      <w:r w:rsidR="003B66B0">
        <w:t>’s</w:t>
      </w:r>
      <w:proofErr w:type="spellEnd"/>
      <w:r>
        <w:t xml:space="preserve"> </w:t>
      </w:r>
      <w:r w:rsidR="00156F26">
        <w:t xml:space="preserve">Annual Update </w:t>
      </w:r>
      <w:r>
        <w:t xml:space="preserve">be posted on MISO’s website and OASIS by June 1 of each year (or the next business day if June 1 falls on a weekend or Commission holiday) and that MISO provide notice of such posting within </w:t>
      </w:r>
      <w:r w:rsidR="00D81C82">
        <w:t>ten</w:t>
      </w:r>
      <w:r>
        <w:t xml:space="preserve"> days.  The posting of the </w:t>
      </w:r>
      <w:r w:rsidR="00156F26">
        <w:t>Annual Update</w:t>
      </w:r>
      <w:r>
        <w:t xml:space="preserve"> triggers the commencement </w:t>
      </w:r>
      <w:r w:rsidRPr="00156F26">
        <w:t>of the information exchange period and challenge period under the Attachment O</w:t>
      </w:r>
      <w:r w:rsidR="00156F26">
        <w:t xml:space="preserve"> </w:t>
      </w:r>
      <w:r>
        <w:t xml:space="preserve">protocols.  Interested Parties had until </w:t>
      </w:r>
      <w:r w:rsidRPr="00C224EE">
        <w:t xml:space="preserve">December </w:t>
      </w:r>
      <w:r w:rsidR="00C26B93" w:rsidRPr="00C224EE">
        <w:t>1, 201</w:t>
      </w:r>
      <w:r w:rsidR="00CB36B9">
        <w:t>7</w:t>
      </w:r>
      <w:r>
        <w:t xml:space="preserve"> to submit information requests</w:t>
      </w:r>
      <w:r w:rsidR="00D609C8">
        <w:t xml:space="preserve">, and </w:t>
      </w:r>
      <w:r w:rsidR="00483C83">
        <w:t xml:space="preserve">Cleco </w:t>
      </w:r>
      <w:r w:rsidR="00D609C8">
        <w:t xml:space="preserve">was required to make a good faith effort to respond to all requests within fifteen business days, but by no later than </w:t>
      </w:r>
      <w:r w:rsidR="00D609C8" w:rsidRPr="00C224EE">
        <w:t>January 10, 201</w:t>
      </w:r>
      <w:r w:rsidR="00CB36B9">
        <w:t>8</w:t>
      </w:r>
      <w:r w:rsidR="00D609C8" w:rsidRPr="000A66E2">
        <w:t>.</w:t>
      </w:r>
      <w:r w:rsidR="00D609C8">
        <w:t xml:space="preserve"> </w:t>
      </w:r>
      <w:r w:rsidR="004E68D0">
        <w:t xml:space="preserve">Interested Parties had until </w:t>
      </w:r>
      <w:r w:rsidR="004E68D0" w:rsidRPr="00C224EE">
        <w:t>February 1, 201</w:t>
      </w:r>
      <w:r w:rsidR="00CB36B9">
        <w:t>8</w:t>
      </w:r>
      <w:r w:rsidR="004E68D0">
        <w:t xml:space="preserve"> to submit informal challenges to Cleco</w:t>
      </w:r>
      <w:r w:rsidR="004E68D0" w:rsidRPr="00D609C8">
        <w:t>,</w:t>
      </w:r>
      <w:r w:rsidR="004E68D0">
        <w:t xml:space="preserve"> and Cleco was required to make a good faith effort to respond to all informal challenges within t</w:t>
      </w:r>
      <w:r w:rsidR="004E68D0" w:rsidRPr="00156F26">
        <w:t xml:space="preserve">wenty business days, but by no later </w:t>
      </w:r>
      <w:r w:rsidR="004E68D0" w:rsidRPr="000A66E2">
        <w:t xml:space="preserve">than </w:t>
      </w:r>
      <w:r w:rsidR="004E68D0" w:rsidRPr="00C224EE">
        <w:t>February 28, 201</w:t>
      </w:r>
      <w:r w:rsidR="00CB36B9">
        <w:t>8</w:t>
      </w:r>
      <w:r w:rsidR="004E68D0" w:rsidRPr="000A66E2">
        <w:t>.</w:t>
      </w:r>
    </w:p>
    <w:p w:rsidR="004A290F" w:rsidRDefault="004A290F" w:rsidP="004E68D0">
      <w:pPr>
        <w:pStyle w:val="ListParagraph"/>
        <w:ind w:left="0" w:firstLine="720"/>
      </w:pPr>
    </w:p>
    <w:p w:rsidR="00A564CD" w:rsidRPr="00F63EE5" w:rsidRDefault="0077620F" w:rsidP="004E68D0">
      <w:pPr>
        <w:pStyle w:val="ListParagraph"/>
        <w:ind w:left="0" w:firstLine="720"/>
      </w:pPr>
      <w:r>
        <w:t>Cleco made two updates to the Attachment O since original</w:t>
      </w:r>
      <w:r w:rsidR="00101F06">
        <w:t>ly submitting</w:t>
      </w:r>
      <w:r>
        <w:t xml:space="preserve">. </w:t>
      </w:r>
      <w:r w:rsidR="00101F06">
        <w:t xml:space="preserve"> The first update was </w:t>
      </w:r>
      <w:r w:rsidR="00C8678F">
        <w:t xml:space="preserve">the removal of a </w:t>
      </w:r>
      <w:r w:rsidR="00854C36">
        <w:t xml:space="preserve">franchise tax that </w:t>
      </w:r>
      <w:r w:rsidR="00A40DCE">
        <w:t xml:space="preserve">was included </w:t>
      </w:r>
      <w:r w:rsidR="00854C36">
        <w:t>on t</w:t>
      </w:r>
      <w:r w:rsidR="00C8678F">
        <w:t xml:space="preserve">ab </w:t>
      </w:r>
      <w:r w:rsidR="00854C36">
        <w:t>“</w:t>
      </w:r>
      <w:r w:rsidR="00C8678F">
        <w:t>4 – Taxes P.3</w:t>
      </w:r>
      <w:r w:rsidR="00854C36">
        <w:t>”</w:t>
      </w:r>
      <w:r w:rsidR="00C8678F">
        <w:t xml:space="preserve"> of the work papers.  </w:t>
      </w:r>
      <w:r w:rsidR="00BD21C1">
        <w:t xml:space="preserve">  </w:t>
      </w:r>
      <w:r w:rsidR="00101F06">
        <w:t xml:space="preserve">The second update was due to asset reclassification.  </w:t>
      </w:r>
      <w:proofErr w:type="spellStart"/>
      <w:r w:rsidR="004E68D0">
        <w:t>Cleco</w:t>
      </w:r>
      <w:proofErr w:type="spellEnd"/>
      <w:r w:rsidR="004E68D0">
        <w:t xml:space="preserve"> </w:t>
      </w:r>
      <w:r w:rsidR="00F0745E">
        <w:t xml:space="preserve">removed </w:t>
      </w:r>
      <w:r w:rsidR="00A40DCE">
        <w:t xml:space="preserve">certain </w:t>
      </w:r>
      <w:r w:rsidR="00F0745E">
        <w:t xml:space="preserve">assets </w:t>
      </w:r>
      <w:r w:rsidR="006541CF">
        <w:t xml:space="preserve">that </w:t>
      </w:r>
      <w:r w:rsidR="00F0745E">
        <w:t xml:space="preserve">were </w:t>
      </w:r>
      <w:r w:rsidR="00A40DCE">
        <w:t xml:space="preserve">erroneously not classified as </w:t>
      </w:r>
      <w:r w:rsidR="00F0745E">
        <w:t xml:space="preserve">generator interconnection facilities.  </w:t>
      </w:r>
      <w:r w:rsidR="00A40DCE">
        <w:t xml:space="preserve">To account for the change, </w:t>
      </w:r>
      <w:r w:rsidR="00F0745E">
        <w:t xml:space="preserve">Cleco added a new line </w:t>
      </w:r>
      <w:r w:rsidR="00A40DCE">
        <w:t xml:space="preserve">entitled </w:t>
      </w:r>
      <w:r w:rsidR="00F0745E">
        <w:t xml:space="preserve">“Less: GIA Assets” on tab “6 – Excluded Assets P.4.”  </w:t>
      </w:r>
      <w:r w:rsidR="002B2C75">
        <w:t xml:space="preserve">The </w:t>
      </w:r>
      <w:r w:rsidR="004E68D0">
        <w:t>transmission plant excluded from ISO rates</w:t>
      </w:r>
      <w:r w:rsidR="002B2C75">
        <w:t xml:space="preserve"> on line </w:t>
      </w:r>
      <w:r w:rsidR="004E68D0">
        <w:t>2</w:t>
      </w:r>
      <w:r w:rsidR="002B2C75">
        <w:t xml:space="preserve">, page </w:t>
      </w:r>
      <w:r w:rsidR="004E68D0">
        <w:t>4</w:t>
      </w:r>
      <w:r w:rsidR="002B2C75">
        <w:t xml:space="preserve"> </w:t>
      </w:r>
      <w:r w:rsidR="004E68D0">
        <w:t>of</w:t>
      </w:r>
      <w:r w:rsidR="002B2C75">
        <w:t xml:space="preserve"> the Atta</w:t>
      </w:r>
      <w:r w:rsidR="00101F06">
        <w:t>ch</w:t>
      </w:r>
      <w:r w:rsidR="002B2C75">
        <w:t xml:space="preserve">ment O was </w:t>
      </w:r>
      <w:r w:rsidR="002B2C75">
        <w:lastRenderedPageBreak/>
        <w:t>adjusted in Attachment B to account for</w:t>
      </w:r>
      <w:r w:rsidR="004E68D0">
        <w:t xml:space="preserve"> a reclassification of assets</w:t>
      </w:r>
      <w:r w:rsidR="002B2C75">
        <w:t xml:space="preserve">.    </w:t>
      </w:r>
      <w:r w:rsidR="00AB0030">
        <w:t xml:space="preserve">The </w:t>
      </w:r>
      <w:r w:rsidR="00854C36">
        <w:t>customer</w:t>
      </w:r>
      <w:r w:rsidR="004A290F">
        <w:t>-</w:t>
      </w:r>
      <w:r w:rsidR="00854C36">
        <w:t>identified adjustments</w:t>
      </w:r>
      <w:r w:rsidR="00101F06">
        <w:t xml:space="preserve"> ha</w:t>
      </w:r>
      <w:r w:rsidR="00854C36">
        <w:t>ve</w:t>
      </w:r>
      <w:r w:rsidR="00101F06">
        <w:t xml:space="preserve"> resulted in a $0.02</w:t>
      </w:r>
      <w:r w:rsidR="00854C36">
        <w:t>7</w:t>
      </w:r>
      <w:r w:rsidR="00AB0030">
        <w:t xml:space="preserve">/kw-Month </w:t>
      </w:r>
      <w:r w:rsidR="00854C36">
        <w:t>decrease</w:t>
      </w:r>
      <w:r w:rsidR="00AB0030">
        <w:t xml:space="preserve"> in the Network and Point-to-Point rates.  </w:t>
      </w:r>
      <w:proofErr w:type="spellStart"/>
      <w:r w:rsidR="000131D9">
        <w:t>Cleco</w:t>
      </w:r>
      <w:proofErr w:type="spellEnd"/>
      <w:r w:rsidR="000131D9">
        <w:t xml:space="preserve"> </w:t>
      </w:r>
      <w:r w:rsidR="004A290F">
        <w:t xml:space="preserve">is also including </w:t>
      </w:r>
      <w:r w:rsidR="000131D9">
        <w:t xml:space="preserve">tab “10 – Radial Lines” as part of the Attachment O support file.  </w:t>
      </w:r>
      <w:r w:rsidR="004A290F">
        <w:t xml:space="preserve">This additional information is provided to assist customers with review of rates and will be included in subsequent years.  </w:t>
      </w:r>
      <w:r w:rsidR="00D609C8" w:rsidRPr="00156F26">
        <w:t>Under the Attachment O</w:t>
      </w:r>
      <w:r w:rsidR="00156F26" w:rsidRPr="00156F26">
        <w:t xml:space="preserve"> </w:t>
      </w:r>
      <w:r w:rsidR="00D609C8" w:rsidRPr="00156F26">
        <w:t>pro</w:t>
      </w:r>
      <w:r w:rsidR="00D609C8">
        <w:t>tocols, Interested Parties have until April 15, 201</w:t>
      </w:r>
      <w:r w:rsidR="00854C36">
        <w:t>8</w:t>
      </w:r>
      <w:r w:rsidR="00D609C8">
        <w:t xml:space="preserve"> to file formal challenges with the Commission.</w:t>
      </w:r>
      <w:r w:rsidR="00156F26">
        <w:t xml:space="preserve">  </w:t>
      </w:r>
      <w:r w:rsidR="00483C83">
        <w:t xml:space="preserve">Cleco </w:t>
      </w:r>
      <w:r w:rsidR="00156F26" w:rsidRPr="00F63EE5">
        <w:t xml:space="preserve">has complied with all of these </w:t>
      </w:r>
      <w:r w:rsidR="00A15F1F">
        <w:t>procedures</w:t>
      </w:r>
      <w:r w:rsidR="00156F26" w:rsidRPr="00F63EE5">
        <w:t>.</w:t>
      </w:r>
    </w:p>
    <w:p w:rsidR="00A564CD" w:rsidRPr="00F63EE5" w:rsidRDefault="00A564CD" w:rsidP="001A6F0D">
      <w:pPr>
        <w:pStyle w:val="ListParagraph"/>
        <w:ind w:left="0" w:firstLine="720"/>
      </w:pPr>
    </w:p>
    <w:p w:rsidR="001A6F0D" w:rsidRPr="00F63EE5" w:rsidRDefault="00CE2A02" w:rsidP="001A6F0D">
      <w:pPr>
        <w:pStyle w:val="ListParagraph"/>
        <w:ind w:left="0" w:firstLine="720"/>
      </w:pPr>
      <w:r w:rsidRPr="00F63EE5">
        <w:t xml:space="preserve">The following table summarizes </w:t>
      </w:r>
      <w:proofErr w:type="spellStart"/>
      <w:r w:rsidR="00483C83">
        <w:t>Cleco</w:t>
      </w:r>
      <w:r w:rsidR="003B66B0">
        <w:t>’s</w:t>
      </w:r>
      <w:proofErr w:type="spellEnd"/>
      <w:r w:rsidRPr="00F63EE5">
        <w:t xml:space="preserve"> compliance with </w:t>
      </w:r>
      <w:r w:rsidR="004F008E" w:rsidRPr="00F63EE5">
        <w:t xml:space="preserve">specific deadlines </w:t>
      </w:r>
      <w:r w:rsidR="00D609C8" w:rsidRPr="00F63EE5">
        <w:t>set forth in the protocols:</w:t>
      </w:r>
    </w:p>
    <w:p w:rsidR="001A6F0D" w:rsidRDefault="001A6F0D" w:rsidP="001A6F0D">
      <w:pPr>
        <w:pStyle w:val="ListParagraph"/>
        <w:ind w:left="0" w:firstLine="720"/>
      </w:pPr>
    </w:p>
    <w:tbl>
      <w:tblPr>
        <w:tblStyle w:val="TableGrid"/>
        <w:tblW w:w="0" w:type="auto"/>
        <w:tblLook w:val="04A0" w:firstRow="1" w:lastRow="0" w:firstColumn="1" w:lastColumn="0" w:noHBand="0" w:noVBand="1"/>
      </w:tblPr>
      <w:tblGrid>
        <w:gridCol w:w="2448"/>
        <w:gridCol w:w="3456"/>
        <w:gridCol w:w="2952"/>
      </w:tblGrid>
      <w:tr w:rsidR="001A6F0D" w:rsidRPr="001A6F0D" w:rsidTr="006E1199">
        <w:tc>
          <w:tcPr>
            <w:tcW w:w="2448" w:type="dxa"/>
          </w:tcPr>
          <w:p w:rsidR="001A6F0D" w:rsidRPr="004F008E" w:rsidRDefault="001A6F0D" w:rsidP="00076E0C">
            <w:pPr>
              <w:pStyle w:val="ListParagraph"/>
              <w:ind w:left="0"/>
              <w:rPr>
                <w:b/>
              </w:rPr>
            </w:pPr>
            <w:r w:rsidRPr="004F008E">
              <w:rPr>
                <w:b/>
              </w:rPr>
              <w:t>Due Date</w:t>
            </w:r>
          </w:p>
        </w:tc>
        <w:tc>
          <w:tcPr>
            <w:tcW w:w="3456" w:type="dxa"/>
          </w:tcPr>
          <w:p w:rsidR="001A6F0D" w:rsidRPr="004F008E" w:rsidRDefault="001A6F0D" w:rsidP="00076E0C">
            <w:pPr>
              <w:pStyle w:val="ListParagraph"/>
              <w:ind w:left="0"/>
              <w:rPr>
                <w:b/>
              </w:rPr>
            </w:pPr>
            <w:r w:rsidRPr="004F008E">
              <w:rPr>
                <w:b/>
              </w:rPr>
              <w:t>Activity</w:t>
            </w:r>
          </w:p>
        </w:tc>
        <w:tc>
          <w:tcPr>
            <w:tcW w:w="2952" w:type="dxa"/>
          </w:tcPr>
          <w:p w:rsidR="001A6F0D" w:rsidRPr="004F008E" w:rsidRDefault="001A6F0D" w:rsidP="001A6F0D">
            <w:pPr>
              <w:pStyle w:val="ListParagraph"/>
              <w:ind w:left="0"/>
              <w:rPr>
                <w:b/>
              </w:rPr>
            </w:pPr>
            <w:r w:rsidRPr="004F008E">
              <w:rPr>
                <w:b/>
              </w:rPr>
              <w:t>Date Activity Completed</w:t>
            </w:r>
          </w:p>
        </w:tc>
      </w:tr>
      <w:tr w:rsidR="001A6F0D" w:rsidRPr="001A6F0D" w:rsidTr="006E1199">
        <w:tc>
          <w:tcPr>
            <w:tcW w:w="2448" w:type="dxa"/>
          </w:tcPr>
          <w:p w:rsidR="001A6F0D" w:rsidRPr="001A6F0D" w:rsidRDefault="001A6F0D" w:rsidP="008B1F10">
            <w:pPr>
              <w:pStyle w:val="ListParagraph"/>
              <w:ind w:left="0"/>
              <w:jc w:val="left"/>
            </w:pPr>
            <w:r>
              <w:t xml:space="preserve">June </w:t>
            </w:r>
            <w:r w:rsidR="00C26B93">
              <w:t>1</w:t>
            </w:r>
            <w:r w:rsidR="006E1199">
              <w:t>, 201</w:t>
            </w:r>
            <w:r w:rsidR="004E68D0">
              <w:t>6</w:t>
            </w:r>
          </w:p>
        </w:tc>
        <w:tc>
          <w:tcPr>
            <w:tcW w:w="3456" w:type="dxa"/>
          </w:tcPr>
          <w:p w:rsidR="001A6F0D" w:rsidRPr="001A6F0D" w:rsidRDefault="001A6F0D" w:rsidP="0027506C">
            <w:pPr>
              <w:pStyle w:val="ListParagraph"/>
              <w:ind w:left="0"/>
              <w:jc w:val="left"/>
            </w:pPr>
            <w:r>
              <w:t xml:space="preserve">Calculate </w:t>
            </w:r>
            <w:r w:rsidR="0027506C">
              <w:t>A</w:t>
            </w:r>
            <w:r>
              <w:t xml:space="preserve">nnual </w:t>
            </w:r>
            <w:r w:rsidR="0027506C">
              <w:t>T</w:t>
            </w:r>
            <w:r>
              <w:t xml:space="preserve">ransmission </w:t>
            </w:r>
            <w:r w:rsidR="0027506C">
              <w:t>R</w:t>
            </w:r>
            <w:r>
              <w:t xml:space="preserve">evenue </w:t>
            </w:r>
            <w:r w:rsidR="0027506C">
              <w:t>R</w:t>
            </w:r>
            <w:r>
              <w:t>equirement/</w:t>
            </w:r>
            <w:r w:rsidR="0027506C">
              <w:t>A</w:t>
            </w:r>
            <w:r>
              <w:t xml:space="preserve">nnual </w:t>
            </w:r>
            <w:r w:rsidR="0027506C">
              <w:t>U</w:t>
            </w:r>
            <w:r>
              <w:t>pdate and provide to MISO for posting</w:t>
            </w:r>
            <w:r w:rsidR="00F63EE5">
              <w:t>/distribution</w:t>
            </w:r>
          </w:p>
        </w:tc>
        <w:tc>
          <w:tcPr>
            <w:tcW w:w="2952" w:type="dxa"/>
          </w:tcPr>
          <w:p w:rsidR="001A6F0D" w:rsidRPr="001A6F0D" w:rsidRDefault="00423798" w:rsidP="003D3FF2">
            <w:pPr>
              <w:pStyle w:val="ListParagraph"/>
              <w:ind w:left="0"/>
              <w:jc w:val="left"/>
            </w:pPr>
            <w:r>
              <w:t>June 1, 201</w:t>
            </w:r>
            <w:r w:rsidR="00FB1E10">
              <w:t>7</w:t>
            </w:r>
          </w:p>
        </w:tc>
      </w:tr>
      <w:tr w:rsidR="001A6F0D" w:rsidRPr="001A6F0D" w:rsidTr="006E1199">
        <w:tc>
          <w:tcPr>
            <w:tcW w:w="2448" w:type="dxa"/>
          </w:tcPr>
          <w:p w:rsidR="001A6F0D" w:rsidRDefault="00206F84" w:rsidP="003D3FF2">
            <w:pPr>
              <w:pStyle w:val="ListParagraph"/>
              <w:ind w:left="0"/>
              <w:jc w:val="left"/>
            </w:pPr>
            <w:r>
              <w:t>June 10, 201</w:t>
            </w:r>
            <w:r w:rsidR="004E68D0">
              <w:t>6</w:t>
            </w:r>
          </w:p>
        </w:tc>
        <w:tc>
          <w:tcPr>
            <w:tcW w:w="3456" w:type="dxa"/>
          </w:tcPr>
          <w:p w:rsidR="001A6F0D" w:rsidRDefault="001A6F0D" w:rsidP="003D3FF2">
            <w:pPr>
              <w:pStyle w:val="ListParagraph"/>
              <w:ind w:left="0"/>
              <w:jc w:val="left"/>
            </w:pPr>
            <w:r>
              <w:t>MISO provides notice to exploder list</w:t>
            </w:r>
          </w:p>
        </w:tc>
        <w:tc>
          <w:tcPr>
            <w:tcW w:w="2952" w:type="dxa"/>
          </w:tcPr>
          <w:p w:rsidR="001A6F0D" w:rsidRPr="00C224EE" w:rsidRDefault="00206F84" w:rsidP="003D3FF2">
            <w:pPr>
              <w:pStyle w:val="ListParagraph"/>
              <w:ind w:left="0"/>
              <w:jc w:val="left"/>
            </w:pPr>
            <w:r w:rsidRPr="00C224EE">
              <w:t>June 10, 201</w:t>
            </w:r>
            <w:r w:rsidR="00FB1E10">
              <w:t>7</w:t>
            </w:r>
          </w:p>
          <w:p w:rsidR="00206F84" w:rsidRPr="001A6F0D" w:rsidRDefault="00206F84" w:rsidP="003D3FF2">
            <w:pPr>
              <w:pStyle w:val="ListParagraph"/>
              <w:ind w:left="0"/>
              <w:jc w:val="left"/>
              <w:rPr>
                <w:highlight w:val="yellow"/>
              </w:rPr>
            </w:pPr>
          </w:p>
        </w:tc>
      </w:tr>
      <w:tr w:rsidR="001A6F0D" w:rsidRPr="001A6F0D" w:rsidTr="006E1199">
        <w:tc>
          <w:tcPr>
            <w:tcW w:w="2448" w:type="dxa"/>
          </w:tcPr>
          <w:p w:rsidR="001A6F0D" w:rsidRPr="006E1199" w:rsidRDefault="006E1199" w:rsidP="003D3FF2">
            <w:pPr>
              <w:pStyle w:val="ListParagraph"/>
              <w:ind w:left="0"/>
              <w:jc w:val="left"/>
            </w:pPr>
            <w:r w:rsidRPr="006E1199">
              <w:t>September 1, 201</w:t>
            </w:r>
            <w:r w:rsidR="004E68D0">
              <w:t>6</w:t>
            </w:r>
          </w:p>
        </w:tc>
        <w:tc>
          <w:tcPr>
            <w:tcW w:w="3456" w:type="dxa"/>
          </w:tcPr>
          <w:p w:rsidR="001A6F0D" w:rsidRPr="006E1199" w:rsidRDefault="006E1199" w:rsidP="003D3FF2">
            <w:pPr>
              <w:pStyle w:val="ListParagraph"/>
              <w:ind w:left="0"/>
              <w:jc w:val="left"/>
            </w:pPr>
            <w:r>
              <w:t xml:space="preserve">Hold annual open meeting </w:t>
            </w:r>
          </w:p>
        </w:tc>
        <w:tc>
          <w:tcPr>
            <w:tcW w:w="2952" w:type="dxa"/>
          </w:tcPr>
          <w:p w:rsidR="001A6F0D" w:rsidRPr="006E1199" w:rsidRDefault="00206F84" w:rsidP="003D3FF2">
            <w:pPr>
              <w:pStyle w:val="ListParagraph"/>
              <w:ind w:left="0"/>
              <w:jc w:val="left"/>
            </w:pPr>
            <w:r>
              <w:t>July 1</w:t>
            </w:r>
            <w:r w:rsidR="00FB1E10">
              <w:t>8</w:t>
            </w:r>
            <w:r>
              <w:t>, 201</w:t>
            </w:r>
            <w:r w:rsidR="00FB1E10">
              <w:t>7</w:t>
            </w:r>
          </w:p>
        </w:tc>
      </w:tr>
      <w:tr w:rsidR="006E1199" w:rsidRPr="001A6F0D" w:rsidTr="006E1199">
        <w:tc>
          <w:tcPr>
            <w:tcW w:w="2448" w:type="dxa"/>
          </w:tcPr>
          <w:p w:rsidR="003D3FF2" w:rsidRPr="003D3FF2" w:rsidRDefault="003D3FF2" w:rsidP="003B66B0">
            <w:pPr>
              <w:pStyle w:val="ListParagraph"/>
              <w:ind w:left="0"/>
              <w:jc w:val="left"/>
              <w:rPr>
                <w:highlight w:val="yellow"/>
              </w:rPr>
            </w:pPr>
          </w:p>
        </w:tc>
        <w:tc>
          <w:tcPr>
            <w:tcW w:w="3456" w:type="dxa"/>
          </w:tcPr>
          <w:p w:rsidR="006E1199" w:rsidRPr="003D3FF2" w:rsidRDefault="006E1199" w:rsidP="003D3FF2">
            <w:pPr>
              <w:pStyle w:val="ListParagraph"/>
              <w:ind w:left="0"/>
              <w:jc w:val="left"/>
              <w:rPr>
                <w:highlight w:val="yellow"/>
              </w:rPr>
            </w:pPr>
          </w:p>
        </w:tc>
        <w:tc>
          <w:tcPr>
            <w:tcW w:w="2952" w:type="dxa"/>
          </w:tcPr>
          <w:p w:rsidR="006E1199" w:rsidRPr="00574C9B" w:rsidRDefault="006E1199" w:rsidP="008B1F10">
            <w:pPr>
              <w:pStyle w:val="ListParagraph"/>
              <w:ind w:left="0"/>
              <w:jc w:val="left"/>
              <w:rPr>
                <w:highlight w:val="yellow"/>
              </w:rPr>
            </w:pPr>
          </w:p>
        </w:tc>
      </w:tr>
    </w:tbl>
    <w:p w:rsidR="002B3CF5" w:rsidRPr="001A6F0D" w:rsidRDefault="002B3CF5" w:rsidP="00076E0C">
      <w:pPr>
        <w:pStyle w:val="ListParagraph"/>
        <w:ind w:left="0"/>
        <w:rPr>
          <w:b/>
        </w:rPr>
      </w:pPr>
    </w:p>
    <w:p w:rsidR="003D3FF2" w:rsidRDefault="003D3FF2" w:rsidP="003D3FF2">
      <w:pPr>
        <w:pStyle w:val="ListParagraph"/>
        <w:ind w:left="0"/>
      </w:pPr>
      <w:r>
        <w:rPr>
          <w:b/>
        </w:rPr>
        <w:t>III.</w:t>
      </w:r>
      <w:r>
        <w:rPr>
          <w:b/>
        </w:rPr>
        <w:tab/>
        <w:t>NOTICE</w:t>
      </w:r>
    </w:p>
    <w:p w:rsidR="003D3FF2" w:rsidRDefault="003D3FF2" w:rsidP="003D3FF2">
      <w:pPr>
        <w:pStyle w:val="ListParagraph"/>
        <w:ind w:left="0"/>
      </w:pPr>
    </w:p>
    <w:p w:rsidR="003D3FF2" w:rsidRDefault="003D3FF2" w:rsidP="003D3FF2">
      <w:pPr>
        <w:pStyle w:val="ListParagraph"/>
        <w:ind w:left="0"/>
      </w:pPr>
      <w:r>
        <w:tab/>
        <w:t>In accordance with Section VI.A o</w:t>
      </w:r>
      <w:r w:rsidRPr="004F008E">
        <w:t xml:space="preserve">f the </w:t>
      </w:r>
      <w:r w:rsidR="004F008E" w:rsidRPr="004F008E">
        <w:t>Attachment</w:t>
      </w:r>
      <w:r w:rsidR="004F008E">
        <w:t xml:space="preserve"> O formula rate</w:t>
      </w:r>
      <w:r>
        <w:t xml:space="preserve"> protocols,</w:t>
      </w:r>
      <w:r w:rsidR="00483C83">
        <w:t xml:space="preserve"> Cleco</w:t>
      </w:r>
      <w:r>
        <w:t xml:space="preserve"> </w:t>
      </w:r>
      <w:r w:rsidR="002C4A79">
        <w:t xml:space="preserve">will </w:t>
      </w:r>
      <w:r>
        <w:t>notif</w:t>
      </w:r>
      <w:r w:rsidR="002C4A79">
        <w:t>y</w:t>
      </w:r>
      <w:r>
        <w:t xml:space="preserve"> MISO of this filing and provide the docket number for posting on the MISO website </w:t>
      </w:r>
      <w:r w:rsidR="00447AA2">
        <w:t xml:space="preserve">and OASIS </w:t>
      </w:r>
      <w:r>
        <w:t>and notification via MISO’s email exploder list within five days.</w:t>
      </w:r>
    </w:p>
    <w:p w:rsidR="003D3FF2" w:rsidRDefault="003D3FF2" w:rsidP="003D3FF2">
      <w:pPr>
        <w:pStyle w:val="ListParagraph"/>
        <w:ind w:left="0"/>
      </w:pPr>
    </w:p>
    <w:p w:rsidR="003D3FF2" w:rsidRPr="003D3FF2" w:rsidRDefault="003D3FF2" w:rsidP="003D3FF2">
      <w:pPr>
        <w:pStyle w:val="ListParagraph"/>
        <w:ind w:left="0"/>
        <w:rPr>
          <w:b/>
        </w:rPr>
      </w:pPr>
      <w:r w:rsidRPr="003D3FF2">
        <w:rPr>
          <w:b/>
        </w:rPr>
        <w:t>IV.</w:t>
      </w:r>
      <w:r w:rsidRPr="003D3FF2">
        <w:rPr>
          <w:b/>
        </w:rPr>
        <w:tab/>
        <w:t>CONCLUSION</w:t>
      </w:r>
    </w:p>
    <w:p w:rsidR="003D3FF2" w:rsidRDefault="003D3FF2" w:rsidP="00076E0C">
      <w:pPr>
        <w:pStyle w:val="ListParagraph"/>
        <w:ind w:left="0"/>
      </w:pPr>
    </w:p>
    <w:p w:rsidR="00FC082B" w:rsidRDefault="003D3FF2" w:rsidP="00D47D70">
      <w:r>
        <w:tab/>
        <w:t>Please contact the undersigned if you have any questions regarding this submission.</w:t>
      </w:r>
    </w:p>
    <w:p w:rsidR="003D3FF2" w:rsidRDefault="003D3FF2" w:rsidP="00D47D70"/>
    <w:p w:rsidR="003D3FF2" w:rsidRDefault="003D3FF2" w:rsidP="00D47D70">
      <w:r>
        <w:tab/>
      </w:r>
      <w:r>
        <w:tab/>
      </w:r>
      <w:r>
        <w:tab/>
      </w:r>
      <w:r>
        <w:tab/>
      </w:r>
      <w:r>
        <w:tab/>
      </w:r>
      <w:r>
        <w:tab/>
        <w:t>Respectfully submitted,</w:t>
      </w:r>
    </w:p>
    <w:p w:rsidR="003D3FF2" w:rsidRDefault="003D3FF2" w:rsidP="00D47D70"/>
    <w:p w:rsidR="003D3FF2" w:rsidRDefault="00CE2A02" w:rsidP="00D47D70">
      <w:pPr>
        <w:rPr>
          <w:u w:val="single"/>
        </w:rPr>
      </w:pPr>
      <w:r>
        <w:tab/>
      </w:r>
      <w:r>
        <w:tab/>
      </w:r>
      <w:r>
        <w:tab/>
      </w:r>
      <w:r>
        <w:tab/>
      </w:r>
      <w:r>
        <w:tab/>
      </w:r>
      <w:r>
        <w:tab/>
      </w:r>
      <w:r>
        <w:rPr>
          <w:i/>
          <w:u w:val="single"/>
        </w:rPr>
        <w:t xml:space="preserve"> /s/ </w:t>
      </w:r>
      <w:r w:rsidR="00483C83">
        <w:rPr>
          <w:i/>
          <w:u w:val="single"/>
        </w:rPr>
        <w:t>Jill M Kelone</w:t>
      </w:r>
      <w:r>
        <w:rPr>
          <w:i/>
          <w:u w:val="single"/>
        </w:rPr>
        <w:tab/>
      </w:r>
      <w:r>
        <w:rPr>
          <w:i/>
          <w:u w:val="single"/>
        </w:rPr>
        <w:tab/>
      </w:r>
    </w:p>
    <w:p w:rsidR="00CE2A02" w:rsidRDefault="00CE2A02" w:rsidP="00D47D70">
      <w:r w:rsidRPr="00CE2A02">
        <w:tab/>
      </w:r>
      <w:r w:rsidRPr="00CE2A02">
        <w:tab/>
      </w:r>
      <w:r w:rsidRPr="00CE2A02">
        <w:tab/>
      </w:r>
      <w:r w:rsidRPr="00CE2A02">
        <w:tab/>
      </w:r>
      <w:r w:rsidRPr="00CE2A02">
        <w:tab/>
      </w:r>
      <w:r w:rsidRPr="00CE2A02">
        <w:tab/>
      </w:r>
      <w:r w:rsidR="00483C83">
        <w:t>Jill M. Kelone</w:t>
      </w:r>
    </w:p>
    <w:p w:rsidR="00483C83" w:rsidRDefault="00483C83" w:rsidP="00483C83">
      <w:pPr>
        <w:tabs>
          <w:tab w:val="left" w:pos="4320"/>
        </w:tabs>
      </w:pPr>
      <w:r>
        <w:tab/>
      </w:r>
      <w:r w:rsidR="00C224EE">
        <w:t>Manager MISO Policy</w:t>
      </w:r>
    </w:p>
    <w:p w:rsidR="00483C83" w:rsidRDefault="00483C83" w:rsidP="00483C83">
      <w:pPr>
        <w:tabs>
          <w:tab w:val="left" w:pos="4320"/>
        </w:tabs>
      </w:pPr>
      <w:r>
        <w:tab/>
        <w:t>Cleco Power LLC</w:t>
      </w:r>
    </w:p>
    <w:p w:rsidR="00483C83" w:rsidRDefault="00483C83" w:rsidP="00483C83">
      <w:pPr>
        <w:tabs>
          <w:tab w:val="left" w:pos="4320"/>
        </w:tabs>
      </w:pPr>
      <w:r>
        <w:tab/>
        <w:t>2030 Donahue Ferry Road</w:t>
      </w:r>
    </w:p>
    <w:p w:rsidR="00483C83" w:rsidRDefault="00483C83" w:rsidP="00483C83">
      <w:pPr>
        <w:tabs>
          <w:tab w:val="left" w:pos="4320"/>
        </w:tabs>
      </w:pPr>
      <w:r>
        <w:tab/>
        <w:t>Pineville, LA  71360</w:t>
      </w:r>
    </w:p>
    <w:p w:rsidR="00483C83" w:rsidRPr="00CE2A02" w:rsidRDefault="00483C83" w:rsidP="00483C83">
      <w:pPr>
        <w:tabs>
          <w:tab w:val="left" w:pos="4320"/>
        </w:tabs>
      </w:pPr>
      <w:r>
        <w:tab/>
        <w:t>318-484-7597</w:t>
      </w:r>
    </w:p>
    <w:p w:rsidR="001300B4" w:rsidRDefault="001300B4" w:rsidP="00D47D70"/>
    <w:p w:rsidR="003D3FF2" w:rsidRDefault="003D3FF2" w:rsidP="00D47D70">
      <w:pPr>
        <w:rPr>
          <w:b/>
          <w:i/>
          <w:highlight w:val="green"/>
        </w:rPr>
      </w:pPr>
      <w:r>
        <w:t>Attachments</w:t>
      </w:r>
    </w:p>
    <w:sectPr w:rsidR="003D3FF2" w:rsidSect="00483C83">
      <w:headerReference w:type="first" r:id="rId9"/>
      <w:footerReference w:type="first" r:id="rId10"/>
      <w:pgSz w:w="12240" w:h="15840" w:code="1"/>
      <w:pgMar w:top="1710" w:right="1440" w:bottom="1296" w:left="1530" w:header="27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52" w:rsidRDefault="002A1C52" w:rsidP="00D47D70">
      <w:r>
        <w:separator/>
      </w:r>
    </w:p>
  </w:endnote>
  <w:endnote w:type="continuationSeparator" w:id="0">
    <w:p w:rsidR="002A1C52" w:rsidRDefault="002A1C52" w:rsidP="00D4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10" w:rsidRPr="00986E0A" w:rsidRDefault="00BB2513">
    <w:pPr>
      <w:pStyle w:val="Footer"/>
    </w:pPr>
    <w:r w:rsidRPr="00BB2513">
      <w:rPr>
        <w:noProof/>
        <w:sz w:val="12"/>
      </w:rPr>
      <w:t>{W0080923.4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52" w:rsidRDefault="002A1C52" w:rsidP="00D47D70">
      <w:pPr>
        <w:rPr>
          <w:noProof/>
        </w:rPr>
      </w:pPr>
      <w:r>
        <w:rPr>
          <w:noProof/>
        </w:rPr>
        <w:separator/>
      </w:r>
    </w:p>
  </w:footnote>
  <w:footnote w:type="continuationSeparator" w:id="0">
    <w:p w:rsidR="002A1C52" w:rsidRDefault="002A1C52" w:rsidP="00D47D70">
      <w:r>
        <w:continuationSeparator/>
      </w:r>
    </w:p>
  </w:footnote>
  <w:footnote w:id="1">
    <w:p w:rsidR="008B1F10" w:rsidRPr="00BD1DE8" w:rsidRDefault="008B1F10">
      <w:pPr>
        <w:pStyle w:val="FootnoteText"/>
      </w:pPr>
      <w:r>
        <w:rPr>
          <w:rStyle w:val="FootnoteReference"/>
        </w:rPr>
        <w:footnoteRef/>
      </w:r>
      <w:r>
        <w:t xml:space="preserve"> </w:t>
      </w:r>
      <w:r>
        <w:tab/>
      </w:r>
      <w:proofErr w:type="gramStart"/>
      <w:r w:rsidRPr="001300B4">
        <w:rPr>
          <w:i/>
        </w:rPr>
        <w:t>Midwest</w:t>
      </w:r>
      <w:r w:rsidRPr="002B5E5A">
        <w:rPr>
          <w:i/>
        </w:rPr>
        <w:t xml:space="preserve"> </w:t>
      </w:r>
      <w:proofErr w:type="spellStart"/>
      <w:r w:rsidRPr="002B5E5A">
        <w:rPr>
          <w:i/>
        </w:rPr>
        <w:t>Indep</w:t>
      </w:r>
      <w:proofErr w:type="spellEnd"/>
      <w:r w:rsidRPr="002B5E5A">
        <w:rPr>
          <w:i/>
        </w:rPr>
        <w:t>.</w:t>
      </w:r>
      <w:proofErr w:type="gramEnd"/>
      <w:r w:rsidRPr="002B5E5A">
        <w:rPr>
          <w:i/>
        </w:rPr>
        <w:t xml:space="preserve"> </w:t>
      </w:r>
      <w:proofErr w:type="gramStart"/>
      <w:r w:rsidRPr="002B5E5A">
        <w:rPr>
          <w:i/>
        </w:rPr>
        <w:t>Transmission</w:t>
      </w:r>
      <w:r>
        <w:rPr>
          <w:i/>
        </w:rPr>
        <w:t xml:space="preserve"> Sys.</w:t>
      </w:r>
      <w:proofErr w:type="gramEnd"/>
      <w:r>
        <w:rPr>
          <w:i/>
        </w:rPr>
        <w:t xml:space="preserve"> Operator, Inc.</w:t>
      </w:r>
      <w:r>
        <w:t xml:space="preserve">, 139 FERC ¶ 61,127 (2012) (“May 2012 Order), </w:t>
      </w:r>
      <w:r>
        <w:rPr>
          <w:i/>
        </w:rPr>
        <w:t>order on investigation</w:t>
      </w:r>
      <w:r>
        <w:t>, 143 FERC ¶ 61,149 (2013) (“May 2013 Order”).</w:t>
      </w:r>
    </w:p>
  </w:footnote>
  <w:footnote w:id="2">
    <w:p w:rsidR="008B1F10" w:rsidRPr="00BD1DE8" w:rsidRDefault="008B1F10">
      <w:pPr>
        <w:pStyle w:val="FootnoteText"/>
      </w:pPr>
      <w:r>
        <w:rPr>
          <w:rStyle w:val="FootnoteReference"/>
        </w:rPr>
        <w:footnoteRef/>
      </w:r>
      <w:r>
        <w:t xml:space="preserve"> </w:t>
      </w:r>
      <w:r>
        <w:tab/>
      </w:r>
      <w:proofErr w:type="gramStart"/>
      <w:r>
        <w:rPr>
          <w:i/>
        </w:rPr>
        <w:t xml:space="preserve">Midwest </w:t>
      </w:r>
      <w:proofErr w:type="spellStart"/>
      <w:r>
        <w:rPr>
          <w:i/>
        </w:rPr>
        <w:t>Indep</w:t>
      </w:r>
      <w:proofErr w:type="spellEnd"/>
      <w:r>
        <w:rPr>
          <w:i/>
        </w:rPr>
        <w:t>.</w:t>
      </w:r>
      <w:proofErr w:type="gramEnd"/>
      <w:r>
        <w:rPr>
          <w:i/>
        </w:rPr>
        <w:t xml:space="preserve"> </w:t>
      </w:r>
      <w:proofErr w:type="gramStart"/>
      <w:r>
        <w:rPr>
          <w:i/>
        </w:rPr>
        <w:t>Transmission Sys.</w:t>
      </w:r>
      <w:proofErr w:type="gramEnd"/>
      <w:r>
        <w:rPr>
          <w:i/>
        </w:rPr>
        <w:t xml:space="preserve"> Operator, Inc.</w:t>
      </w:r>
      <w:r>
        <w:t xml:space="preserve">, 146 FERC ¶ 61,212 (2014) (“March 2014 Order”), </w:t>
      </w:r>
      <w:proofErr w:type="spellStart"/>
      <w:r>
        <w:rPr>
          <w:i/>
        </w:rPr>
        <w:t>reh’g</w:t>
      </w:r>
      <w:proofErr w:type="spellEnd"/>
      <w:r>
        <w:rPr>
          <w:i/>
        </w:rPr>
        <w:t xml:space="preserve"> denied</w:t>
      </w:r>
      <w:r>
        <w:t xml:space="preserve">, 150 FERC ¶ 61,024 (2015). </w:t>
      </w:r>
    </w:p>
  </w:footnote>
  <w:footnote w:id="3">
    <w:p w:rsidR="008B1F10" w:rsidRDefault="008B1F10">
      <w:pPr>
        <w:pStyle w:val="FootnoteText"/>
      </w:pPr>
      <w:r>
        <w:rPr>
          <w:rStyle w:val="FootnoteReference"/>
        </w:rPr>
        <w:footnoteRef/>
      </w:r>
      <w:r>
        <w:t xml:space="preserve"> </w:t>
      </w:r>
      <w:r>
        <w:tab/>
        <w:t xml:space="preserve">May 2012 Order at P </w:t>
      </w:r>
      <w:proofErr w:type="gramStart"/>
      <w:r>
        <w:t>1.</w:t>
      </w:r>
      <w:proofErr w:type="gramEnd"/>
    </w:p>
  </w:footnote>
  <w:footnote w:id="4">
    <w:p w:rsidR="008B1F10" w:rsidRDefault="008B1F10">
      <w:pPr>
        <w:pStyle w:val="FootnoteText"/>
      </w:pPr>
      <w:r>
        <w:rPr>
          <w:rStyle w:val="FootnoteReference"/>
        </w:rPr>
        <w:footnoteRef/>
      </w:r>
      <w:r>
        <w:t xml:space="preserve"> </w:t>
      </w:r>
      <w:r>
        <w:tab/>
        <w:t>May 2013 Order at PP 1, 17-</w:t>
      </w:r>
      <w:proofErr w:type="gramStart"/>
      <w:r>
        <w:t>18.</w:t>
      </w:r>
      <w:proofErr w:type="gramEnd"/>
    </w:p>
  </w:footnote>
  <w:footnote w:id="5">
    <w:p w:rsidR="008B1F10" w:rsidRDefault="008B1F10" w:rsidP="008E0C67">
      <w:pPr>
        <w:pStyle w:val="FootnoteText"/>
      </w:pPr>
      <w:r>
        <w:rPr>
          <w:rStyle w:val="FootnoteReference"/>
        </w:rPr>
        <w:footnoteRef/>
      </w:r>
      <w:r>
        <w:t xml:space="preserve"> </w:t>
      </w:r>
      <w:r>
        <w:tab/>
      </w:r>
      <w:proofErr w:type="gramStart"/>
      <w:r>
        <w:rPr>
          <w:i/>
        </w:rPr>
        <w:t>Id.</w:t>
      </w:r>
      <w:r>
        <w:t xml:space="preserve"> at P 92.</w:t>
      </w:r>
      <w:proofErr w:type="gramEnd"/>
    </w:p>
  </w:footnote>
  <w:footnote w:id="6">
    <w:p w:rsidR="008B1F10" w:rsidRDefault="008B1F10" w:rsidP="00E771CE">
      <w:pPr>
        <w:pStyle w:val="FootnoteText"/>
      </w:pPr>
      <w:r>
        <w:rPr>
          <w:rStyle w:val="FootnoteReference"/>
        </w:rPr>
        <w:footnoteRef/>
      </w:r>
      <w:r>
        <w:t xml:space="preserve"> </w:t>
      </w:r>
      <w:r>
        <w:tab/>
      </w:r>
      <w:proofErr w:type="gramStart"/>
      <w:r>
        <w:rPr>
          <w:i/>
        </w:rPr>
        <w:t xml:space="preserve">Id. </w:t>
      </w:r>
      <w:r>
        <w:t>at P 92 n.142.</w:t>
      </w:r>
      <w:proofErr w:type="gramEnd"/>
      <w:r>
        <w:t xml:space="preserve">  </w:t>
      </w:r>
    </w:p>
  </w:footnote>
  <w:footnote w:id="7">
    <w:p w:rsidR="008B1F10" w:rsidRDefault="008B1F10" w:rsidP="00E771CE">
      <w:pPr>
        <w:pStyle w:val="FootnoteText"/>
        <w:rPr>
          <w:b/>
        </w:rPr>
      </w:pPr>
      <w:r>
        <w:rPr>
          <w:rStyle w:val="FootnoteReference"/>
        </w:rPr>
        <w:footnoteRef/>
      </w:r>
      <w:r>
        <w:t xml:space="preserve"> </w:t>
      </w:r>
      <w:r>
        <w:tab/>
      </w:r>
      <w:proofErr w:type="gramStart"/>
      <w:r>
        <w:rPr>
          <w:i/>
        </w:rPr>
        <w:t xml:space="preserve">Id. </w:t>
      </w:r>
      <w:r>
        <w:t>at P 85.</w:t>
      </w:r>
      <w:proofErr w:type="gramEnd"/>
    </w:p>
  </w:footnote>
  <w:footnote w:id="8">
    <w:p w:rsidR="008B1F10" w:rsidRDefault="008B1F10">
      <w:pPr>
        <w:pStyle w:val="FootnoteText"/>
      </w:pPr>
      <w:r>
        <w:rPr>
          <w:rStyle w:val="FootnoteReference"/>
        </w:rPr>
        <w:footnoteRef/>
      </w:r>
      <w:r>
        <w:t xml:space="preserve"> </w:t>
      </w:r>
      <w:r>
        <w:tab/>
      </w:r>
      <w:proofErr w:type="gramStart"/>
      <w:r>
        <w:t>March 2014 Order at P 71.</w:t>
      </w:r>
      <w:proofErr w:type="gramEnd"/>
    </w:p>
  </w:footnote>
  <w:footnote w:id="9">
    <w:p w:rsidR="008B1F10" w:rsidRPr="00CB1A46" w:rsidRDefault="008B1F10">
      <w:pPr>
        <w:pStyle w:val="FootnoteText"/>
      </w:pPr>
      <w:r>
        <w:rPr>
          <w:rStyle w:val="FootnoteReference"/>
        </w:rPr>
        <w:footnoteRef/>
      </w:r>
      <w:r>
        <w:t xml:space="preserve"> </w:t>
      </w:r>
      <w:r>
        <w:tab/>
      </w:r>
      <w:r>
        <w:rPr>
          <w:i/>
        </w:rPr>
        <w:t>Id.</w:t>
      </w:r>
      <w:r>
        <w:t xml:space="preserve"> at P 70; </w:t>
      </w:r>
      <w:r>
        <w:rPr>
          <w:i/>
        </w:rPr>
        <w:t>see also id.</w:t>
      </w:r>
      <w:r>
        <w:t xml:space="preserve"> </w:t>
      </w:r>
      <w:proofErr w:type="gramStart"/>
      <w:r>
        <w:t>at</w:t>
      </w:r>
      <w:proofErr w:type="gramEnd"/>
      <w:r>
        <w:t xml:space="preserve"> P 113 (“We also direct the MISO Transmission Owners to propose Tariff revisions to clarify that formal challenges should be filed in the informational filing dockets.”).</w:t>
      </w:r>
    </w:p>
  </w:footnote>
  <w:footnote w:id="10">
    <w:p w:rsidR="008B1F10" w:rsidRDefault="008B1F10">
      <w:pPr>
        <w:pStyle w:val="FootnoteText"/>
      </w:pPr>
      <w:r>
        <w:rPr>
          <w:rStyle w:val="FootnoteReference"/>
        </w:rPr>
        <w:footnoteRef/>
      </w:r>
      <w:r>
        <w:t xml:space="preserve"> </w:t>
      </w:r>
      <w:r>
        <w:tab/>
      </w:r>
      <w:proofErr w:type="gramStart"/>
      <w:r>
        <w:rPr>
          <w:i/>
        </w:rPr>
        <w:t>Id.</w:t>
      </w:r>
      <w:r>
        <w:t xml:space="preserve"> at P 71.</w:t>
      </w:r>
      <w:proofErr w:type="gramEnd"/>
    </w:p>
  </w:footnote>
  <w:footnote w:id="11">
    <w:p w:rsidR="00067B05" w:rsidRDefault="008B1F10" w:rsidP="00067B05">
      <w:pPr>
        <w:autoSpaceDE w:val="0"/>
        <w:autoSpaceDN w:val="0"/>
        <w:adjustRightInd w:val="0"/>
        <w:ind w:left="720" w:hanging="720"/>
      </w:pPr>
      <w:r>
        <w:rPr>
          <w:rStyle w:val="FootnoteReference"/>
        </w:rPr>
        <w:footnoteRef/>
      </w:r>
      <w:r>
        <w:t xml:space="preserve"> </w:t>
      </w:r>
      <w:r>
        <w:tab/>
      </w:r>
      <w:r w:rsidR="00483C83">
        <w:t xml:space="preserve">Cleco </w:t>
      </w:r>
      <w:r>
        <w:t xml:space="preserve">is providing its populated </w:t>
      </w:r>
      <w:r>
        <w:rPr>
          <w:sz w:val="26"/>
          <w:szCs w:val="26"/>
        </w:rPr>
        <w:t>formula rate template</w:t>
      </w:r>
      <w:r w:rsidR="001C6E68">
        <w:rPr>
          <w:sz w:val="26"/>
          <w:szCs w:val="26"/>
        </w:rPr>
        <w:t>s</w:t>
      </w:r>
      <w:r>
        <w:rPr>
          <w:sz w:val="26"/>
          <w:szCs w:val="26"/>
        </w:rPr>
        <w:t xml:space="preserve"> and underlying </w:t>
      </w:r>
      <w:proofErr w:type="spellStart"/>
      <w:r>
        <w:rPr>
          <w:sz w:val="26"/>
          <w:szCs w:val="26"/>
        </w:rPr>
        <w:t>workpapers</w:t>
      </w:r>
      <w:proofErr w:type="spellEnd"/>
      <w:r>
        <w:rPr>
          <w:sz w:val="26"/>
          <w:szCs w:val="26"/>
        </w:rPr>
        <w:t xml:space="preserve"> in their native format (e.g., Microsoft Excel) fully populated and with formulas intact.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10" w:rsidRPr="00E0592A" w:rsidRDefault="00E0592A" w:rsidP="00483C83">
    <w:pPr>
      <w:pStyle w:val="Header"/>
      <w:ind w:left="720" w:firstLine="720"/>
      <w:rPr>
        <w:rFonts w:ascii="Arial" w:hAnsi="Arial" w:cs="Arial"/>
        <w:i/>
        <w:sz w:val="14"/>
        <w:szCs w:val="14"/>
      </w:rPr>
    </w:pPr>
    <w:r>
      <w:rPr>
        <w:noProof/>
        <w:sz w:val="14"/>
        <w:szCs w:val="14"/>
      </w:rPr>
      <w:drawing>
        <wp:anchor distT="0" distB="0" distL="114300" distR="114300" simplePos="0" relativeHeight="251658240" behindDoc="0" locked="0" layoutInCell="1" allowOverlap="1" wp14:anchorId="67C1C3B6" wp14:editId="0F7DFC5B">
          <wp:simplePos x="0" y="0"/>
          <wp:positionH relativeFrom="column">
            <wp:posOffset>-958215</wp:posOffset>
          </wp:positionH>
          <wp:positionV relativeFrom="page">
            <wp:posOffset>197062</wp:posOffset>
          </wp:positionV>
          <wp:extent cx="1533525" cy="730885"/>
          <wp:effectExtent l="0" t="0" r="9525" b="0"/>
          <wp:wrapNone/>
          <wp:docPr id="1"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pic:cNvPicPr>
                    <a:picLocks noChangeAspect="1" noChangeArrowheads="1"/>
                  </pic:cNvPicPr>
                </pic:nvPicPr>
                <pic:blipFill>
                  <a:blip r:embed="rId1" cstate="print"/>
                  <a:srcRect/>
                  <a:stretch>
                    <a:fillRect/>
                  </a:stretch>
                </pic:blipFill>
                <pic:spPr bwMode="auto">
                  <a:xfrm>
                    <a:off x="0" y="0"/>
                    <a:ext cx="1533525" cy="730885"/>
                  </a:xfrm>
                  <a:prstGeom prst="rect">
                    <a:avLst/>
                  </a:prstGeom>
                  <a:noFill/>
                  <a:ln w="9525">
                    <a:noFill/>
                    <a:miter lim="800000"/>
                    <a:headEnd/>
                    <a:tailEnd/>
                  </a:ln>
                </pic:spPr>
              </pic:pic>
            </a:graphicData>
          </a:graphic>
        </wp:anchor>
      </w:drawing>
    </w:r>
    <w:r w:rsidRPr="00E0592A">
      <w:rPr>
        <w:rFonts w:ascii="Arial Black" w:hAnsi="Arial Black"/>
      </w:rPr>
      <w:t>Cleco Power LLC</w:t>
    </w:r>
    <w:r>
      <w:rPr>
        <w:rFonts w:ascii="Arial Black" w:hAnsi="Arial Black"/>
      </w:rPr>
      <w:tab/>
    </w:r>
    <w:r>
      <w:rPr>
        <w:rFonts w:ascii="Arial Black" w:hAnsi="Arial Black"/>
      </w:rPr>
      <w:tab/>
    </w:r>
    <w:r>
      <w:rPr>
        <w:rFonts w:ascii="Arial Black" w:hAnsi="Arial Black"/>
      </w:rPr>
      <w:tab/>
    </w:r>
    <w:r>
      <w:rPr>
        <w:rFonts w:ascii="Arial Black" w:hAnsi="Arial Black"/>
      </w:rPr>
      <w:tab/>
    </w:r>
    <w:r w:rsidRPr="00E0592A">
      <w:rPr>
        <w:rFonts w:ascii="Arial" w:hAnsi="Arial" w:cs="Arial"/>
        <w:i/>
        <w:sz w:val="14"/>
        <w:szCs w:val="14"/>
      </w:rPr>
      <w:t>A subsidiary of Cleco Corporation</w:t>
    </w:r>
  </w:p>
  <w:p w:rsidR="00E0592A" w:rsidRPr="00E0592A" w:rsidRDefault="00E0592A" w:rsidP="00E0592A">
    <w:pPr>
      <w:pStyle w:val="Header"/>
      <w:ind w:firstLine="720"/>
      <w:rPr>
        <w:rFonts w:ascii="Arial" w:hAnsi="Arial" w:cs="Arial"/>
        <w:sz w:val="14"/>
        <w:szCs w:val="14"/>
      </w:rPr>
    </w:pPr>
    <w:r w:rsidRPr="00E0592A">
      <w:rPr>
        <w:rFonts w:ascii="Arial" w:hAnsi="Arial" w:cs="Arial"/>
        <w:i/>
        <w:sz w:val="14"/>
        <w:szCs w:val="14"/>
      </w:rPr>
      <w:tab/>
    </w:r>
    <w:r w:rsidR="00483C83">
      <w:rPr>
        <w:rFonts w:ascii="Arial" w:hAnsi="Arial" w:cs="Arial"/>
        <w:i/>
        <w:sz w:val="14"/>
        <w:szCs w:val="14"/>
      </w:rPr>
      <w:tab/>
    </w:r>
    <w:r w:rsidRPr="00E0592A">
      <w:rPr>
        <w:rFonts w:ascii="Arial" w:hAnsi="Arial" w:cs="Arial"/>
        <w:i/>
        <w:sz w:val="14"/>
        <w:szCs w:val="14"/>
      </w:rPr>
      <w:tab/>
    </w:r>
    <w:r w:rsidRPr="00E0592A">
      <w:rPr>
        <w:rFonts w:ascii="Arial" w:hAnsi="Arial" w:cs="Arial"/>
        <w:i/>
        <w:sz w:val="14"/>
        <w:szCs w:val="14"/>
      </w:rPr>
      <w:tab/>
    </w:r>
    <w:r w:rsidRPr="00E0592A">
      <w:rPr>
        <w:rFonts w:ascii="Arial" w:hAnsi="Arial" w:cs="Arial"/>
        <w:i/>
        <w:sz w:val="14"/>
        <w:szCs w:val="14"/>
      </w:rPr>
      <w:tab/>
    </w:r>
    <w:r w:rsidRPr="00E0592A">
      <w:rPr>
        <w:rFonts w:ascii="Arial" w:hAnsi="Arial" w:cs="Arial"/>
        <w:i/>
        <w:sz w:val="14"/>
        <w:szCs w:val="14"/>
      </w:rPr>
      <w:tab/>
    </w:r>
    <w:r w:rsidRPr="00E0592A">
      <w:rPr>
        <w:rFonts w:ascii="Arial" w:hAnsi="Arial" w:cs="Arial"/>
        <w:i/>
        <w:sz w:val="14"/>
        <w:szCs w:val="14"/>
      </w:rPr>
      <w:tab/>
    </w:r>
    <w:r w:rsidRPr="00E0592A">
      <w:rPr>
        <w:rFonts w:ascii="Arial" w:hAnsi="Arial" w:cs="Arial"/>
        <w:i/>
        <w:sz w:val="14"/>
        <w:szCs w:val="14"/>
      </w:rPr>
      <w:tab/>
    </w:r>
    <w:r w:rsidRPr="00E0592A">
      <w:rPr>
        <w:rFonts w:ascii="Arial" w:hAnsi="Arial" w:cs="Arial"/>
        <w:sz w:val="14"/>
        <w:szCs w:val="14"/>
      </w:rPr>
      <w:t>2030 Donahue Ferry Road</w:t>
    </w:r>
  </w:p>
  <w:p w:rsidR="00E0592A" w:rsidRPr="00E0592A" w:rsidRDefault="00E0592A" w:rsidP="00E0592A">
    <w:pPr>
      <w:pStyle w:val="Header"/>
      <w:ind w:firstLine="720"/>
      <w:rPr>
        <w:rFonts w:ascii="Arial" w:hAnsi="Arial" w:cs="Arial"/>
        <w:sz w:val="14"/>
        <w:szCs w:val="14"/>
      </w:rPr>
    </w:pPr>
    <w:r w:rsidRPr="00E0592A">
      <w:rPr>
        <w:rFonts w:ascii="Arial" w:hAnsi="Arial" w:cs="Arial"/>
        <w:sz w:val="14"/>
        <w:szCs w:val="14"/>
      </w:rPr>
      <w:tab/>
    </w:r>
    <w:r w:rsidRPr="00E0592A">
      <w:rPr>
        <w:rFonts w:ascii="Arial" w:hAnsi="Arial" w:cs="Arial"/>
        <w:sz w:val="14"/>
        <w:szCs w:val="14"/>
      </w:rPr>
      <w:tab/>
    </w:r>
    <w:r w:rsidR="00483C83">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t>P.O. Box 5000</w:t>
    </w:r>
  </w:p>
  <w:p w:rsidR="00E0592A" w:rsidRPr="00E0592A" w:rsidRDefault="00E0592A" w:rsidP="00E0592A">
    <w:pPr>
      <w:pStyle w:val="Header"/>
      <w:ind w:firstLine="720"/>
      <w:rPr>
        <w:rFonts w:ascii="Arial" w:hAnsi="Arial" w:cs="Arial"/>
        <w:sz w:val="14"/>
        <w:szCs w:val="14"/>
      </w:rPr>
    </w:pP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00483C83">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t>Pineville, LA 71361-5000</w:t>
    </w:r>
  </w:p>
  <w:p w:rsidR="00E0592A" w:rsidRPr="00E0592A" w:rsidRDefault="00E0592A" w:rsidP="00E0592A">
    <w:pPr>
      <w:pStyle w:val="Header"/>
      <w:ind w:firstLine="720"/>
      <w:rPr>
        <w:rFonts w:ascii="Arial" w:hAnsi="Arial" w:cs="Arial"/>
        <w:sz w:val="14"/>
        <w:szCs w:val="14"/>
      </w:rPr>
    </w:pP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00483C83">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hyperlink r:id="rId2" w:history="1">
      <w:r w:rsidRPr="00E0592A">
        <w:rPr>
          <w:rStyle w:val="Hyperlink"/>
          <w:rFonts w:ascii="Arial" w:hAnsi="Arial" w:cs="Arial"/>
          <w:sz w:val="14"/>
          <w:szCs w:val="14"/>
        </w:rPr>
        <w:t>www.cleco.com</w:t>
      </w:r>
    </w:hyperlink>
  </w:p>
  <w:p w:rsidR="00E0592A" w:rsidRPr="00E0592A" w:rsidRDefault="00E0592A" w:rsidP="00E0592A">
    <w:pPr>
      <w:pStyle w:val="Header"/>
      <w:ind w:firstLine="720"/>
      <w:rPr>
        <w:rFonts w:ascii="Arial" w:hAnsi="Arial" w:cs="Arial"/>
        <w:sz w:val="14"/>
        <w:szCs w:val="14"/>
      </w:rPr>
    </w:pP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r>
    <w:r w:rsidR="00483C83">
      <w:rPr>
        <w:rFonts w:ascii="Arial" w:hAnsi="Arial" w:cs="Arial"/>
        <w:sz w:val="14"/>
        <w:szCs w:val="14"/>
      </w:rPr>
      <w:tab/>
    </w:r>
    <w:r w:rsidRPr="00E0592A">
      <w:rPr>
        <w:rFonts w:ascii="Arial" w:hAnsi="Arial" w:cs="Arial"/>
        <w:sz w:val="14"/>
        <w:szCs w:val="14"/>
      </w:rPr>
      <w:tab/>
    </w:r>
    <w:r w:rsidRPr="00E0592A">
      <w:rPr>
        <w:rFonts w:ascii="Arial" w:hAnsi="Arial" w:cs="Arial"/>
        <w:sz w:val="14"/>
        <w:szCs w:val="14"/>
      </w:rPr>
      <w:tab/>
      <w:t>Tel: 318-484-7400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342CCE0"/>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22FEAE6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4B4E4882"/>
    <w:lvl w:ilvl="0">
      <w:start w:val="1"/>
      <w:numFmt w:val="bullet"/>
      <w:lvlText w:val=""/>
      <w:lvlJc w:val="left"/>
      <w:pPr>
        <w:tabs>
          <w:tab w:val="num" w:pos="360"/>
        </w:tabs>
        <w:ind w:left="360" w:hanging="360"/>
      </w:pPr>
      <w:rPr>
        <w:rFonts w:ascii="Symbol" w:hAnsi="Symbol" w:hint="default"/>
      </w:rPr>
    </w:lvl>
  </w:abstractNum>
  <w:abstractNum w:abstractNumId="3">
    <w:nsid w:val="31530B9D"/>
    <w:multiLevelType w:val="hybridMultilevel"/>
    <w:tmpl w:val="66EAA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827FFB"/>
    <w:multiLevelType w:val="hybridMultilevel"/>
    <w:tmpl w:val="3616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21CA3"/>
    <w:multiLevelType w:val="hybridMultilevel"/>
    <w:tmpl w:val="ABAA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B3A28"/>
    <w:multiLevelType w:val="hybridMultilevel"/>
    <w:tmpl w:val="0206E1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70"/>
    <w:rsid w:val="00005682"/>
    <w:rsid w:val="00006F5F"/>
    <w:rsid w:val="000131D9"/>
    <w:rsid w:val="00032DD3"/>
    <w:rsid w:val="00061E97"/>
    <w:rsid w:val="00067B05"/>
    <w:rsid w:val="00076E0C"/>
    <w:rsid w:val="00090BFE"/>
    <w:rsid w:val="000A20E5"/>
    <w:rsid w:val="000A66E2"/>
    <w:rsid w:val="000C5D9F"/>
    <w:rsid w:val="00101F06"/>
    <w:rsid w:val="0012605C"/>
    <w:rsid w:val="001300B4"/>
    <w:rsid w:val="00156F26"/>
    <w:rsid w:val="00185D35"/>
    <w:rsid w:val="00193E49"/>
    <w:rsid w:val="00195F21"/>
    <w:rsid w:val="001A2911"/>
    <w:rsid w:val="001A6F0D"/>
    <w:rsid w:val="001B5131"/>
    <w:rsid w:val="001C6E68"/>
    <w:rsid w:val="00206F84"/>
    <w:rsid w:val="0022168D"/>
    <w:rsid w:val="00252E35"/>
    <w:rsid w:val="002539F5"/>
    <w:rsid w:val="002618A0"/>
    <w:rsid w:val="0027506C"/>
    <w:rsid w:val="00285ABF"/>
    <w:rsid w:val="002A1C52"/>
    <w:rsid w:val="002B2C75"/>
    <w:rsid w:val="002B3CF5"/>
    <w:rsid w:val="002B5E5A"/>
    <w:rsid w:val="002C4A79"/>
    <w:rsid w:val="002C51AC"/>
    <w:rsid w:val="00347C92"/>
    <w:rsid w:val="00354292"/>
    <w:rsid w:val="00355450"/>
    <w:rsid w:val="00392EFE"/>
    <w:rsid w:val="003A1B7B"/>
    <w:rsid w:val="003B66B0"/>
    <w:rsid w:val="003C5950"/>
    <w:rsid w:val="003D0D81"/>
    <w:rsid w:val="003D3FF2"/>
    <w:rsid w:val="003E0263"/>
    <w:rsid w:val="004236C2"/>
    <w:rsid w:val="00423798"/>
    <w:rsid w:val="00427EFC"/>
    <w:rsid w:val="00446D98"/>
    <w:rsid w:val="00447AA2"/>
    <w:rsid w:val="00483C83"/>
    <w:rsid w:val="004A290F"/>
    <w:rsid w:val="004C3784"/>
    <w:rsid w:val="004C6373"/>
    <w:rsid w:val="004E2512"/>
    <w:rsid w:val="004E68D0"/>
    <w:rsid w:val="004E7C8E"/>
    <w:rsid w:val="004F008E"/>
    <w:rsid w:val="00547C2B"/>
    <w:rsid w:val="00574C9B"/>
    <w:rsid w:val="00582BE3"/>
    <w:rsid w:val="005979A9"/>
    <w:rsid w:val="0062006D"/>
    <w:rsid w:val="00623D7C"/>
    <w:rsid w:val="006541CF"/>
    <w:rsid w:val="00685E0B"/>
    <w:rsid w:val="006B5F56"/>
    <w:rsid w:val="006D1A0A"/>
    <w:rsid w:val="006D20D4"/>
    <w:rsid w:val="006E1199"/>
    <w:rsid w:val="006E58A9"/>
    <w:rsid w:val="007222C5"/>
    <w:rsid w:val="00741BE9"/>
    <w:rsid w:val="00752FE5"/>
    <w:rsid w:val="0077620F"/>
    <w:rsid w:val="00791102"/>
    <w:rsid w:val="007F0FD9"/>
    <w:rsid w:val="0082467D"/>
    <w:rsid w:val="00854C36"/>
    <w:rsid w:val="00855857"/>
    <w:rsid w:val="008574AC"/>
    <w:rsid w:val="008625EB"/>
    <w:rsid w:val="00882FCF"/>
    <w:rsid w:val="008A66E8"/>
    <w:rsid w:val="008B1F10"/>
    <w:rsid w:val="008D7C89"/>
    <w:rsid w:val="008E0C67"/>
    <w:rsid w:val="008F25E4"/>
    <w:rsid w:val="009026A5"/>
    <w:rsid w:val="00902AE4"/>
    <w:rsid w:val="0091665A"/>
    <w:rsid w:val="0093381C"/>
    <w:rsid w:val="00934907"/>
    <w:rsid w:val="009727E3"/>
    <w:rsid w:val="00986E0A"/>
    <w:rsid w:val="00997B9C"/>
    <w:rsid w:val="009B34F0"/>
    <w:rsid w:val="009C15DE"/>
    <w:rsid w:val="009D3BF9"/>
    <w:rsid w:val="00A15F1F"/>
    <w:rsid w:val="00A21EF5"/>
    <w:rsid w:val="00A26657"/>
    <w:rsid w:val="00A33AFC"/>
    <w:rsid w:val="00A40DCE"/>
    <w:rsid w:val="00A564CD"/>
    <w:rsid w:val="00A73759"/>
    <w:rsid w:val="00A82580"/>
    <w:rsid w:val="00A93F98"/>
    <w:rsid w:val="00AB0030"/>
    <w:rsid w:val="00B806C5"/>
    <w:rsid w:val="00BA3A2B"/>
    <w:rsid w:val="00BB2513"/>
    <w:rsid w:val="00BD1DE8"/>
    <w:rsid w:val="00BD21C1"/>
    <w:rsid w:val="00C07475"/>
    <w:rsid w:val="00C130FE"/>
    <w:rsid w:val="00C224EE"/>
    <w:rsid w:val="00C26B93"/>
    <w:rsid w:val="00C4600F"/>
    <w:rsid w:val="00C863D3"/>
    <w:rsid w:val="00C8678F"/>
    <w:rsid w:val="00CB1A46"/>
    <w:rsid w:val="00CB36B9"/>
    <w:rsid w:val="00CB5395"/>
    <w:rsid w:val="00CD465B"/>
    <w:rsid w:val="00CE2A02"/>
    <w:rsid w:val="00D11176"/>
    <w:rsid w:val="00D47D70"/>
    <w:rsid w:val="00D54693"/>
    <w:rsid w:val="00D609C8"/>
    <w:rsid w:val="00D81C82"/>
    <w:rsid w:val="00DA37B1"/>
    <w:rsid w:val="00E0592A"/>
    <w:rsid w:val="00E24C66"/>
    <w:rsid w:val="00E771CE"/>
    <w:rsid w:val="00EC4756"/>
    <w:rsid w:val="00EE6329"/>
    <w:rsid w:val="00F0745E"/>
    <w:rsid w:val="00F33E0D"/>
    <w:rsid w:val="00F43E03"/>
    <w:rsid w:val="00F63EE5"/>
    <w:rsid w:val="00F64952"/>
    <w:rsid w:val="00FA239F"/>
    <w:rsid w:val="00FB1117"/>
    <w:rsid w:val="00FB1E10"/>
    <w:rsid w:val="00FB6970"/>
    <w:rsid w:val="00FC082B"/>
    <w:rsid w:val="00FD50AB"/>
    <w:rsid w:val="00FD6A60"/>
    <w:rsid w:val="00FF0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C2"/>
    <w:pPr>
      <w:jc w:val="both"/>
    </w:pPr>
    <w:rPr>
      <w:sz w:val="24"/>
    </w:rPr>
  </w:style>
  <w:style w:type="paragraph" w:styleId="Heading1">
    <w:name w:val="heading 1"/>
    <w:basedOn w:val="Normal"/>
    <w:next w:val="Normal"/>
    <w:qFormat/>
    <w:rsid w:val="004236C2"/>
    <w:pPr>
      <w:jc w:val="center"/>
      <w:outlineLvl w:val="0"/>
    </w:pPr>
    <w:rPr>
      <w:b/>
      <w:caps/>
      <w:snapToGrid w:val="0"/>
    </w:rPr>
  </w:style>
  <w:style w:type="paragraph" w:styleId="Heading2">
    <w:name w:val="heading 2"/>
    <w:basedOn w:val="Normal"/>
    <w:next w:val="Normal"/>
    <w:qFormat/>
    <w:rsid w:val="004236C2"/>
    <w:pPr>
      <w:spacing w:after="240"/>
      <w:ind w:left="720" w:hanging="720"/>
      <w:outlineLvl w:val="1"/>
    </w:pPr>
    <w:rPr>
      <w:b/>
      <w:snapToGrid w:val="0"/>
    </w:rPr>
  </w:style>
  <w:style w:type="paragraph" w:styleId="Heading3">
    <w:name w:val="heading 3"/>
    <w:basedOn w:val="Normal"/>
    <w:next w:val="Normal"/>
    <w:qFormat/>
    <w:rsid w:val="004236C2"/>
    <w:pPr>
      <w:spacing w:after="240"/>
      <w:ind w:left="1440" w:hanging="720"/>
      <w:outlineLvl w:val="2"/>
    </w:pPr>
    <w:rPr>
      <w:b/>
      <w:snapToGrid w:val="0"/>
    </w:rPr>
  </w:style>
  <w:style w:type="paragraph" w:styleId="Heading4">
    <w:name w:val="heading 4"/>
    <w:basedOn w:val="Normal"/>
    <w:next w:val="Normal"/>
    <w:qFormat/>
    <w:rsid w:val="004236C2"/>
    <w:pPr>
      <w:spacing w:after="240"/>
      <w:ind w:left="2160" w:hanging="720"/>
      <w:outlineLvl w:val="3"/>
    </w:pPr>
    <w:rPr>
      <w:b/>
      <w:snapToGrid w:val="0"/>
    </w:rPr>
  </w:style>
  <w:style w:type="paragraph" w:styleId="Heading5">
    <w:name w:val="heading 5"/>
    <w:basedOn w:val="Normal"/>
    <w:next w:val="Normal"/>
    <w:qFormat/>
    <w:rsid w:val="004236C2"/>
    <w:pPr>
      <w:spacing w:after="240"/>
      <w:ind w:left="2880" w:hanging="720"/>
      <w:outlineLvl w:val="4"/>
    </w:pPr>
    <w:rPr>
      <w:b/>
      <w:snapToGrid w:val="0"/>
    </w:rPr>
  </w:style>
  <w:style w:type="paragraph" w:styleId="Heading6">
    <w:name w:val="heading 6"/>
    <w:basedOn w:val="Normal"/>
    <w:next w:val="Normal"/>
    <w:qFormat/>
    <w:rsid w:val="004236C2"/>
    <w:pPr>
      <w:spacing w:after="240"/>
      <w:ind w:left="3600" w:hanging="720"/>
      <w:outlineLvl w:val="5"/>
    </w:pPr>
    <w:rPr>
      <w:b/>
    </w:rPr>
  </w:style>
  <w:style w:type="paragraph" w:styleId="Heading7">
    <w:name w:val="heading 7"/>
    <w:basedOn w:val="Normal"/>
    <w:next w:val="Normal"/>
    <w:qFormat/>
    <w:rsid w:val="004236C2"/>
    <w:pPr>
      <w:spacing w:after="240"/>
      <w:ind w:left="4320" w:hanging="720"/>
      <w:outlineLvl w:val="6"/>
    </w:pPr>
    <w:rPr>
      <w:b/>
    </w:rPr>
  </w:style>
  <w:style w:type="paragraph" w:styleId="Heading8">
    <w:name w:val="heading 8"/>
    <w:basedOn w:val="Normal"/>
    <w:next w:val="Normal"/>
    <w:qFormat/>
    <w:rsid w:val="004236C2"/>
    <w:pPr>
      <w:spacing w:after="240"/>
      <w:ind w:left="5040" w:hanging="720"/>
      <w:outlineLvl w:val="7"/>
    </w:pPr>
    <w:rPr>
      <w:b/>
    </w:rPr>
  </w:style>
  <w:style w:type="paragraph" w:styleId="Heading9">
    <w:name w:val="heading 9"/>
    <w:basedOn w:val="Normal"/>
    <w:next w:val="Normal"/>
    <w:qFormat/>
    <w:rsid w:val="004236C2"/>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
    <w:basedOn w:val="Normal"/>
    <w:link w:val="FootnoteTextChar"/>
    <w:qFormat/>
    <w:rsid w:val="004236C2"/>
    <w:pPr>
      <w:spacing w:after="240"/>
      <w:ind w:left="720" w:hanging="720"/>
    </w:pPr>
  </w:style>
  <w:style w:type="character" w:styleId="LineNumber">
    <w:name w:val="line number"/>
    <w:basedOn w:val="DefaultParagraphFont"/>
    <w:rsid w:val="004236C2"/>
    <w:rPr>
      <w:sz w:val="24"/>
    </w:rPr>
  </w:style>
  <w:style w:type="paragraph" w:styleId="PlainText">
    <w:name w:val="Plain Text"/>
    <w:basedOn w:val="Normal"/>
    <w:rsid w:val="004236C2"/>
  </w:style>
  <w:style w:type="paragraph" w:styleId="Header">
    <w:name w:val="header"/>
    <w:basedOn w:val="Normal"/>
    <w:rsid w:val="004236C2"/>
  </w:style>
  <w:style w:type="paragraph" w:styleId="TOC1">
    <w:name w:val="toc 1"/>
    <w:basedOn w:val="Normal"/>
    <w:next w:val="Normal"/>
    <w:semiHidden/>
    <w:rsid w:val="004236C2"/>
    <w:pPr>
      <w:spacing w:after="240"/>
      <w:ind w:left="720" w:right="720" w:hanging="720"/>
      <w:jc w:val="left"/>
    </w:pPr>
    <w:rPr>
      <w:caps/>
    </w:rPr>
  </w:style>
  <w:style w:type="paragraph" w:styleId="TOC2">
    <w:name w:val="toc 2"/>
    <w:basedOn w:val="Normal"/>
    <w:next w:val="Normal"/>
    <w:semiHidden/>
    <w:rsid w:val="004236C2"/>
    <w:pPr>
      <w:spacing w:after="240"/>
      <w:ind w:left="1440" w:right="720" w:hanging="720"/>
      <w:jc w:val="left"/>
    </w:pPr>
  </w:style>
  <w:style w:type="paragraph" w:styleId="TOC3">
    <w:name w:val="toc 3"/>
    <w:basedOn w:val="Normal"/>
    <w:next w:val="Normal"/>
    <w:semiHidden/>
    <w:rsid w:val="004236C2"/>
    <w:pPr>
      <w:spacing w:after="240"/>
      <w:ind w:left="2160" w:right="720" w:hanging="720"/>
      <w:jc w:val="left"/>
    </w:pPr>
  </w:style>
  <w:style w:type="paragraph" w:styleId="TOC4">
    <w:name w:val="toc 4"/>
    <w:basedOn w:val="Normal"/>
    <w:next w:val="Normal"/>
    <w:semiHidden/>
    <w:rsid w:val="004236C2"/>
    <w:pPr>
      <w:spacing w:after="240"/>
      <w:ind w:left="2880" w:right="720" w:hanging="720"/>
      <w:jc w:val="left"/>
    </w:pPr>
  </w:style>
  <w:style w:type="paragraph" w:styleId="TOC5">
    <w:name w:val="toc 5"/>
    <w:basedOn w:val="Normal"/>
    <w:next w:val="Normal"/>
    <w:semiHidden/>
    <w:rsid w:val="004236C2"/>
    <w:pPr>
      <w:spacing w:after="240"/>
      <w:ind w:left="3600" w:right="720" w:hanging="720"/>
      <w:jc w:val="left"/>
    </w:pPr>
  </w:style>
  <w:style w:type="paragraph" w:styleId="TOC6">
    <w:name w:val="toc 6"/>
    <w:basedOn w:val="Normal"/>
    <w:next w:val="Normal"/>
    <w:semiHidden/>
    <w:rsid w:val="004236C2"/>
    <w:pPr>
      <w:spacing w:after="240"/>
      <w:ind w:left="4320" w:right="720" w:hanging="720"/>
      <w:jc w:val="left"/>
    </w:pPr>
  </w:style>
  <w:style w:type="paragraph" w:styleId="TOC7">
    <w:name w:val="toc 7"/>
    <w:basedOn w:val="Normal"/>
    <w:next w:val="Normal"/>
    <w:semiHidden/>
    <w:rsid w:val="004236C2"/>
    <w:pPr>
      <w:spacing w:after="240"/>
      <w:ind w:left="5040" w:right="720" w:hanging="720"/>
      <w:jc w:val="left"/>
    </w:pPr>
  </w:style>
  <w:style w:type="paragraph" w:styleId="TOC8">
    <w:name w:val="toc 8"/>
    <w:basedOn w:val="Normal"/>
    <w:next w:val="Normal"/>
    <w:semiHidden/>
    <w:rsid w:val="004236C2"/>
    <w:pPr>
      <w:spacing w:after="240"/>
      <w:ind w:left="5760" w:right="720" w:hanging="720"/>
      <w:jc w:val="left"/>
    </w:pPr>
  </w:style>
  <w:style w:type="paragraph" w:styleId="TOC9">
    <w:name w:val="toc 9"/>
    <w:basedOn w:val="Normal"/>
    <w:next w:val="Normal"/>
    <w:semiHidden/>
    <w:rsid w:val="004236C2"/>
    <w:pPr>
      <w:spacing w:after="240"/>
      <w:ind w:left="6480" w:right="720" w:hanging="720"/>
      <w:jc w:val="left"/>
    </w:pPr>
  </w:style>
  <w:style w:type="character" w:styleId="FootnoteReference">
    <w:name w:val="footnote reference"/>
    <w:basedOn w:val="DefaultParagraphFont"/>
    <w:rsid w:val="004236C2"/>
    <w:rPr>
      <w:sz w:val="24"/>
      <w:vertAlign w:val="superscript"/>
    </w:rPr>
  </w:style>
  <w:style w:type="paragraph" w:styleId="BlockText">
    <w:name w:val="Block Text"/>
    <w:basedOn w:val="Normal"/>
    <w:rsid w:val="004236C2"/>
    <w:pPr>
      <w:spacing w:after="240"/>
      <w:ind w:left="1440" w:right="1440"/>
    </w:pPr>
  </w:style>
  <w:style w:type="paragraph" w:customStyle="1" w:styleId="NORMALDOUBLESPACED">
    <w:name w:val="NORMAL DOUBLE SPACED"/>
    <w:basedOn w:val="Normal"/>
    <w:rsid w:val="004236C2"/>
    <w:pPr>
      <w:spacing w:line="480" w:lineRule="auto"/>
    </w:pPr>
  </w:style>
  <w:style w:type="paragraph" w:styleId="Footer">
    <w:name w:val="footer"/>
    <w:basedOn w:val="Normal"/>
    <w:link w:val="FooterChar"/>
    <w:uiPriority w:val="99"/>
    <w:unhideWhenUsed/>
    <w:rsid w:val="00D47D70"/>
    <w:pPr>
      <w:tabs>
        <w:tab w:val="center" w:pos="4680"/>
        <w:tab w:val="right" w:pos="9360"/>
      </w:tabs>
    </w:pPr>
  </w:style>
  <w:style w:type="character" w:customStyle="1" w:styleId="FooterChar">
    <w:name w:val="Footer Char"/>
    <w:basedOn w:val="DefaultParagraphFont"/>
    <w:link w:val="Footer"/>
    <w:uiPriority w:val="99"/>
    <w:rsid w:val="00D47D70"/>
    <w:rPr>
      <w:sz w:val="24"/>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
    <w:basedOn w:val="DefaultParagraphFont"/>
    <w:link w:val="FootnoteText"/>
    <w:rsid w:val="008E0C67"/>
    <w:rPr>
      <w:sz w:val="24"/>
    </w:rPr>
  </w:style>
  <w:style w:type="paragraph" w:styleId="ListParagraph">
    <w:name w:val="List Paragraph"/>
    <w:basedOn w:val="Normal"/>
    <w:uiPriority w:val="34"/>
    <w:qFormat/>
    <w:rsid w:val="008E0C67"/>
    <w:pPr>
      <w:ind w:left="720"/>
      <w:contextualSpacing/>
    </w:pPr>
  </w:style>
  <w:style w:type="table" w:styleId="TableGrid">
    <w:name w:val="Table Grid"/>
    <w:basedOn w:val="TableNormal"/>
    <w:uiPriority w:val="59"/>
    <w:rsid w:val="001A6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20D4"/>
    <w:rPr>
      <w:sz w:val="16"/>
      <w:szCs w:val="16"/>
    </w:rPr>
  </w:style>
  <w:style w:type="paragraph" w:styleId="CommentText">
    <w:name w:val="annotation text"/>
    <w:basedOn w:val="Normal"/>
    <w:link w:val="CommentTextChar"/>
    <w:uiPriority w:val="99"/>
    <w:semiHidden/>
    <w:unhideWhenUsed/>
    <w:rsid w:val="006D20D4"/>
    <w:rPr>
      <w:sz w:val="20"/>
    </w:rPr>
  </w:style>
  <w:style w:type="character" w:customStyle="1" w:styleId="CommentTextChar">
    <w:name w:val="Comment Text Char"/>
    <w:basedOn w:val="DefaultParagraphFont"/>
    <w:link w:val="CommentText"/>
    <w:uiPriority w:val="99"/>
    <w:semiHidden/>
    <w:rsid w:val="006D20D4"/>
  </w:style>
  <w:style w:type="paragraph" w:styleId="CommentSubject">
    <w:name w:val="annotation subject"/>
    <w:basedOn w:val="CommentText"/>
    <w:next w:val="CommentText"/>
    <w:link w:val="CommentSubjectChar"/>
    <w:uiPriority w:val="99"/>
    <w:semiHidden/>
    <w:unhideWhenUsed/>
    <w:rsid w:val="006D20D4"/>
    <w:rPr>
      <w:b/>
      <w:bCs/>
    </w:rPr>
  </w:style>
  <w:style w:type="character" w:customStyle="1" w:styleId="CommentSubjectChar">
    <w:name w:val="Comment Subject Char"/>
    <w:basedOn w:val="CommentTextChar"/>
    <w:link w:val="CommentSubject"/>
    <w:uiPriority w:val="99"/>
    <w:semiHidden/>
    <w:rsid w:val="006D20D4"/>
    <w:rPr>
      <w:b/>
      <w:bCs/>
    </w:rPr>
  </w:style>
  <w:style w:type="paragraph" w:styleId="BalloonText">
    <w:name w:val="Balloon Text"/>
    <w:basedOn w:val="Normal"/>
    <w:link w:val="BalloonTextChar"/>
    <w:uiPriority w:val="99"/>
    <w:semiHidden/>
    <w:unhideWhenUsed/>
    <w:rsid w:val="006D20D4"/>
    <w:rPr>
      <w:rFonts w:ascii="Tahoma" w:hAnsi="Tahoma" w:cs="Tahoma"/>
      <w:sz w:val="16"/>
      <w:szCs w:val="16"/>
    </w:rPr>
  </w:style>
  <w:style w:type="character" w:customStyle="1" w:styleId="BalloonTextChar">
    <w:name w:val="Balloon Text Char"/>
    <w:basedOn w:val="DefaultParagraphFont"/>
    <w:link w:val="BalloonText"/>
    <w:uiPriority w:val="99"/>
    <w:semiHidden/>
    <w:rsid w:val="006D20D4"/>
    <w:rPr>
      <w:rFonts w:ascii="Tahoma" w:hAnsi="Tahoma" w:cs="Tahoma"/>
      <w:sz w:val="16"/>
      <w:szCs w:val="16"/>
    </w:rPr>
  </w:style>
  <w:style w:type="character" w:styleId="Hyperlink">
    <w:name w:val="Hyperlink"/>
    <w:basedOn w:val="DefaultParagraphFont"/>
    <w:uiPriority w:val="99"/>
    <w:unhideWhenUsed/>
    <w:rsid w:val="00E059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C2"/>
    <w:pPr>
      <w:jc w:val="both"/>
    </w:pPr>
    <w:rPr>
      <w:sz w:val="24"/>
    </w:rPr>
  </w:style>
  <w:style w:type="paragraph" w:styleId="Heading1">
    <w:name w:val="heading 1"/>
    <w:basedOn w:val="Normal"/>
    <w:next w:val="Normal"/>
    <w:qFormat/>
    <w:rsid w:val="004236C2"/>
    <w:pPr>
      <w:jc w:val="center"/>
      <w:outlineLvl w:val="0"/>
    </w:pPr>
    <w:rPr>
      <w:b/>
      <w:caps/>
      <w:snapToGrid w:val="0"/>
    </w:rPr>
  </w:style>
  <w:style w:type="paragraph" w:styleId="Heading2">
    <w:name w:val="heading 2"/>
    <w:basedOn w:val="Normal"/>
    <w:next w:val="Normal"/>
    <w:qFormat/>
    <w:rsid w:val="004236C2"/>
    <w:pPr>
      <w:spacing w:after="240"/>
      <w:ind w:left="720" w:hanging="720"/>
      <w:outlineLvl w:val="1"/>
    </w:pPr>
    <w:rPr>
      <w:b/>
      <w:snapToGrid w:val="0"/>
    </w:rPr>
  </w:style>
  <w:style w:type="paragraph" w:styleId="Heading3">
    <w:name w:val="heading 3"/>
    <w:basedOn w:val="Normal"/>
    <w:next w:val="Normal"/>
    <w:qFormat/>
    <w:rsid w:val="004236C2"/>
    <w:pPr>
      <w:spacing w:after="240"/>
      <w:ind w:left="1440" w:hanging="720"/>
      <w:outlineLvl w:val="2"/>
    </w:pPr>
    <w:rPr>
      <w:b/>
      <w:snapToGrid w:val="0"/>
    </w:rPr>
  </w:style>
  <w:style w:type="paragraph" w:styleId="Heading4">
    <w:name w:val="heading 4"/>
    <w:basedOn w:val="Normal"/>
    <w:next w:val="Normal"/>
    <w:qFormat/>
    <w:rsid w:val="004236C2"/>
    <w:pPr>
      <w:spacing w:after="240"/>
      <w:ind w:left="2160" w:hanging="720"/>
      <w:outlineLvl w:val="3"/>
    </w:pPr>
    <w:rPr>
      <w:b/>
      <w:snapToGrid w:val="0"/>
    </w:rPr>
  </w:style>
  <w:style w:type="paragraph" w:styleId="Heading5">
    <w:name w:val="heading 5"/>
    <w:basedOn w:val="Normal"/>
    <w:next w:val="Normal"/>
    <w:qFormat/>
    <w:rsid w:val="004236C2"/>
    <w:pPr>
      <w:spacing w:after="240"/>
      <w:ind w:left="2880" w:hanging="720"/>
      <w:outlineLvl w:val="4"/>
    </w:pPr>
    <w:rPr>
      <w:b/>
      <w:snapToGrid w:val="0"/>
    </w:rPr>
  </w:style>
  <w:style w:type="paragraph" w:styleId="Heading6">
    <w:name w:val="heading 6"/>
    <w:basedOn w:val="Normal"/>
    <w:next w:val="Normal"/>
    <w:qFormat/>
    <w:rsid w:val="004236C2"/>
    <w:pPr>
      <w:spacing w:after="240"/>
      <w:ind w:left="3600" w:hanging="720"/>
      <w:outlineLvl w:val="5"/>
    </w:pPr>
    <w:rPr>
      <w:b/>
    </w:rPr>
  </w:style>
  <w:style w:type="paragraph" w:styleId="Heading7">
    <w:name w:val="heading 7"/>
    <w:basedOn w:val="Normal"/>
    <w:next w:val="Normal"/>
    <w:qFormat/>
    <w:rsid w:val="004236C2"/>
    <w:pPr>
      <w:spacing w:after="240"/>
      <w:ind w:left="4320" w:hanging="720"/>
      <w:outlineLvl w:val="6"/>
    </w:pPr>
    <w:rPr>
      <w:b/>
    </w:rPr>
  </w:style>
  <w:style w:type="paragraph" w:styleId="Heading8">
    <w:name w:val="heading 8"/>
    <w:basedOn w:val="Normal"/>
    <w:next w:val="Normal"/>
    <w:qFormat/>
    <w:rsid w:val="004236C2"/>
    <w:pPr>
      <w:spacing w:after="240"/>
      <w:ind w:left="5040" w:hanging="720"/>
      <w:outlineLvl w:val="7"/>
    </w:pPr>
    <w:rPr>
      <w:b/>
    </w:rPr>
  </w:style>
  <w:style w:type="paragraph" w:styleId="Heading9">
    <w:name w:val="heading 9"/>
    <w:basedOn w:val="Normal"/>
    <w:next w:val="Normal"/>
    <w:qFormat/>
    <w:rsid w:val="004236C2"/>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
    <w:basedOn w:val="Normal"/>
    <w:link w:val="FootnoteTextChar"/>
    <w:qFormat/>
    <w:rsid w:val="004236C2"/>
    <w:pPr>
      <w:spacing w:after="240"/>
      <w:ind w:left="720" w:hanging="720"/>
    </w:pPr>
  </w:style>
  <w:style w:type="character" w:styleId="LineNumber">
    <w:name w:val="line number"/>
    <w:basedOn w:val="DefaultParagraphFont"/>
    <w:rsid w:val="004236C2"/>
    <w:rPr>
      <w:sz w:val="24"/>
    </w:rPr>
  </w:style>
  <w:style w:type="paragraph" w:styleId="PlainText">
    <w:name w:val="Plain Text"/>
    <w:basedOn w:val="Normal"/>
    <w:rsid w:val="004236C2"/>
  </w:style>
  <w:style w:type="paragraph" w:styleId="Header">
    <w:name w:val="header"/>
    <w:basedOn w:val="Normal"/>
    <w:rsid w:val="004236C2"/>
  </w:style>
  <w:style w:type="paragraph" w:styleId="TOC1">
    <w:name w:val="toc 1"/>
    <w:basedOn w:val="Normal"/>
    <w:next w:val="Normal"/>
    <w:semiHidden/>
    <w:rsid w:val="004236C2"/>
    <w:pPr>
      <w:spacing w:after="240"/>
      <w:ind w:left="720" w:right="720" w:hanging="720"/>
      <w:jc w:val="left"/>
    </w:pPr>
    <w:rPr>
      <w:caps/>
    </w:rPr>
  </w:style>
  <w:style w:type="paragraph" w:styleId="TOC2">
    <w:name w:val="toc 2"/>
    <w:basedOn w:val="Normal"/>
    <w:next w:val="Normal"/>
    <w:semiHidden/>
    <w:rsid w:val="004236C2"/>
    <w:pPr>
      <w:spacing w:after="240"/>
      <w:ind w:left="1440" w:right="720" w:hanging="720"/>
      <w:jc w:val="left"/>
    </w:pPr>
  </w:style>
  <w:style w:type="paragraph" w:styleId="TOC3">
    <w:name w:val="toc 3"/>
    <w:basedOn w:val="Normal"/>
    <w:next w:val="Normal"/>
    <w:semiHidden/>
    <w:rsid w:val="004236C2"/>
    <w:pPr>
      <w:spacing w:after="240"/>
      <w:ind w:left="2160" w:right="720" w:hanging="720"/>
      <w:jc w:val="left"/>
    </w:pPr>
  </w:style>
  <w:style w:type="paragraph" w:styleId="TOC4">
    <w:name w:val="toc 4"/>
    <w:basedOn w:val="Normal"/>
    <w:next w:val="Normal"/>
    <w:semiHidden/>
    <w:rsid w:val="004236C2"/>
    <w:pPr>
      <w:spacing w:after="240"/>
      <w:ind w:left="2880" w:right="720" w:hanging="720"/>
      <w:jc w:val="left"/>
    </w:pPr>
  </w:style>
  <w:style w:type="paragraph" w:styleId="TOC5">
    <w:name w:val="toc 5"/>
    <w:basedOn w:val="Normal"/>
    <w:next w:val="Normal"/>
    <w:semiHidden/>
    <w:rsid w:val="004236C2"/>
    <w:pPr>
      <w:spacing w:after="240"/>
      <w:ind w:left="3600" w:right="720" w:hanging="720"/>
      <w:jc w:val="left"/>
    </w:pPr>
  </w:style>
  <w:style w:type="paragraph" w:styleId="TOC6">
    <w:name w:val="toc 6"/>
    <w:basedOn w:val="Normal"/>
    <w:next w:val="Normal"/>
    <w:semiHidden/>
    <w:rsid w:val="004236C2"/>
    <w:pPr>
      <w:spacing w:after="240"/>
      <w:ind w:left="4320" w:right="720" w:hanging="720"/>
      <w:jc w:val="left"/>
    </w:pPr>
  </w:style>
  <w:style w:type="paragraph" w:styleId="TOC7">
    <w:name w:val="toc 7"/>
    <w:basedOn w:val="Normal"/>
    <w:next w:val="Normal"/>
    <w:semiHidden/>
    <w:rsid w:val="004236C2"/>
    <w:pPr>
      <w:spacing w:after="240"/>
      <w:ind w:left="5040" w:right="720" w:hanging="720"/>
      <w:jc w:val="left"/>
    </w:pPr>
  </w:style>
  <w:style w:type="paragraph" w:styleId="TOC8">
    <w:name w:val="toc 8"/>
    <w:basedOn w:val="Normal"/>
    <w:next w:val="Normal"/>
    <w:semiHidden/>
    <w:rsid w:val="004236C2"/>
    <w:pPr>
      <w:spacing w:after="240"/>
      <w:ind w:left="5760" w:right="720" w:hanging="720"/>
      <w:jc w:val="left"/>
    </w:pPr>
  </w:style>
  <w:style w:type="paragraph" w:styleId="TOC9">
    <w:name w:val="toc 9"/>
    <w:basedOn w:val="Normal"/>
    <w:next w:val="Normal"/>
    <w:semiHidden/>
    <w:rsid w:val="004236C2"/>
    <w:pPr>
      <w:spacing w:after="240"/>
      <w:ind w:left="6480" w:right="720" w:hanging="720"/>
      <w:jc w:val="left"/>
    </w:pPr>
  </w:style>
  <w:style w:type="character" w:styleId="FootnoteReference">
    <w:name w:val="footnote reference"/>
    <w:basedOn w:val="DefaultParagraphFont"/>
    <w:rsid w:val="004236C2"/>
    <w:rPr>
      <w:sz w:val="24"/>
      <w:vertAlign w:val="superscript"/>
    </w:rPr>
  </w:style>
  <w:style w:type="paragraph" w:styleId="BlockText">
    <w:name w:val="Block Text"/>
    <w:basedOn w:val="Normal"/>
    <w:rsid w:val="004236C2"/>
    <w:pPr>
      <w:spacing w:after="240"/>
      <w:ind w:left="1440" w:right="1440"/>
    </w:pPr>
  </w:style>
  <w:style w:type="paragraph" w:customStyle="1" w:styleId="NORMALDOUBLESPACED">
    <w:name w:val="NORMAL DOUBLE SPACED"/>
    <w:basedOn w:val="Normal"/>
    <w:rsid w:val="004236C2"/>
    <w:pPr>
      <w:spacing w:line="480" w:lineRule="auto"/>
    </w:pPr>
  </w:style>
  <w:style w:type="paragraph" w:styleId="Footer">
    <w:name w:val="footer"/>
    <w:basedOn w:val="Normal"/>
    <w:link w:val="FooterChar"/>
    <w:uiPriority w:val="99"/>
    <w:unhideWhenUsed/>
    <w:rsid w:val="00D47D70"/>
    <w:pPr>
      <w:tabs>
        <w:tab w:val="center" w:pos="4680"/>
        <w:tab w:val="right" w:pos="9360"/>
      </w:tabs>
    </w:pPr>
  </w:style>
  <w:style w:type="character" w:customStyle="1" w:styleId="FooterChar">
    <w:name w:val="Footer Char"/>
    <w:basedOn w:val="DefaultParagraphFont"/>
    <w:link w:val="Footer"/>
    <w:uiPriority w:val="99"/>
    <w:rsid w:val="00D47D70"/>
    <w:rPr>
      <w:sz w:val="24"/>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
    <w:basedOn w:val="DefaultParagraphFont"/>
    <w:link w:val="FootnoteText"/>
    <w:rsid w:val="008E0C67"/>
    <w:rPr>
      <w:sz w:val="24"/>
    </w:rPr>
  </w:style>
  <w:style w:type="paragraph" w:styleId="ListParagraph">
    <w:name w:val="List Paragraph"/>
    <w:basedOn w:val="Normal"/>
    <w:uiPriority w:val="34"/>
    <w:qFormat/>
    <w:rsid w:val="008E0C67"/>
    <w:pPr>
      <w:ind w:left="720"/>
      <w:contextualSpacing/>
    </w:pPr>
  </w:style>
  <w:style w:type="table" w:styleId="TableGrid">
    <w:name w:val="Table Grid"/>
    <w:basedOn w:val="TableNormal"/>
    <w:uiPriority w:val="59"/>
    <w:rsid w:val="001A6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20D4"/>
    <w:rPr>
      <w:sz w:val="16"/>
      <w:szCs w:val="16"/>
    </w:rPr>
  </w:style>
  <w:style w:type="paragraph" w:styleId="CommentText">
    <w:name w:val="annotation text"/>
    <w:basedOn w:val="Normal"/>
    <w:link w:val="CommentTextChar"/>
    <w:uiPriority w:val="99"/>
    <w:semiHidden/>
    <w:unhideWhenUsed/>
    <w:rsid w:val="006D20D4"/>
    <w:rPr>
      <w:sz w:val="20"/>
    </w:rPr>
  </w:style>
  <w:style w:type="character" w:customStyle="1" w:styleId="CommentTextChar">
    <w:name w:val="Comment Text Char"/>
    <w:basedOn w:val="DefaultParagraphFont"/>
    <w:link w:val="CommentText"/>
    <w:uiPriority w:val="99"/>
    <w:semiHidden/>
    <w:rsid w:val="006D20D4"/>
  </w:style>
  <w:style w:type="paragraph" w:styleId="CommentSubject">
    <w:name w:val="annotation subject"/>
    <w:basedOn w:val="CommentText"/>
    <w:next w:val="CommentText"/>
    <w:link w:val="CommentSubjectChar"/>
    <w:uiPriority w:val="99"/>
    <w:semiHidden/>
    <w:unhideWhenUsed/>
    <w:rsid w:val="006D20D4"/>
    <w:rPr>
      <w:b/>
      <w:bCs/>
    </w:rPr>
  </w:style>
  <w:style w:type="character" w:customStyle="1" w:styleId="CommentSubjectChar">
    <w:name w:val="Comment Subject Char"/>
    <w:basedOn w:val="CommentTextChar"/>
    <w:link w:val="CommentSubject"/>
    <w:uiPriority w:val="99"/>
    <w:semiHidden/>
    <w:rsid w:val="006D20D4"/>
    <w:rPr>
      <w:b/>
      <w:bCs/>
    </w:rPr>
  </w:style>
  <w:style w:type="paragraph" w:styleId="BalloonText">
    <w:name w:val="Balloon Text"/>
    <w:basedOn w:val="Normal"/>
    <w:link w:val="BalloonTextChar"/>
    <w:uiPriority w:val="99"/>
    <w:semiHidden/>
    <w:unhideWhenUsed/>
    <w:rsid w:val="006D20D4"/>
    <w:rPr>
      <w:rFonts w:ascii="Tahoma" w:hAnsi="Tahoma" w:cs="Tahoma"/>
      <w:sz w:val="16"/>
      <w:szCs w:val="16"/>
    </w:rPr>
  </w:style>
  <w:style w:type="character" w:customStyle="1" w:styleId="BalloonTextChar">
    <w:name w:val="Balloon Text Char"/>
    <w:basedOn w:val="DefaultParagraphFont"/>
    <w:link w:val="BalloonText"/>
    <w:uiPriority w:val="99"/>
    <w:semiHidden/>
    <w:rsid w:val="006D20D4"/>
    <w:rPr>
      <w:rFonts w:ascii="Tahoma" w:hAnsi="Tahoma" w:cs="Tahoma"/>
      <w:sz w:val="16"/>
      <w:szCs w:val="16"/>
    </w:rPr>
  </w:style>
  <w:style w:type="character" w:styleId="Hyperlink">
    <w:name w:val="Hyperlink"/>
    <w:basedOn w:val="DefaultParagraphFont"/>
    <w:uiPriority w:val="99"/>
    <w:unhideWhenUsed/>
    <w:rsid w:val="00E05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lec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388C0-D0E0-45BD-A1AE-18BE19EB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1215</Words>
  <Characters>6801</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Informational Filing Transmittal Letter Template - HISTORICAL  (W0080923.DOCX;4)</vt:lpstr>
    </vt:vector>
  </TitlesOfParts>
  <Company>Microsoft</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Filing Transmittal Letter Template - HISTORICAL  (W0080923.DOCX;4)</dc:title>
  <dc:subject>W0080923.4 /font=6</dc:subject>
  <dc:creator>Wright &amp; Talisman, P.C.</dc:creator>
  <cp:lastModifiedBy>Cindy Guillot</cp:lastModifiedBy>
  <cp:revision>4</cp:revision>
  <cp:lastPrinted>2016-02-12T21:49:00Z</cp:lastPrinted>
  <dcterms:created xsi:type="dcterms:W3CDTF">2018-03-13T16:31:00Z</dcterms:created>
  <dcterms:modified xsi:type="dcterms:W3CDTF">2018-03-14T15:40:00Z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2/24/2016 3:18:09 PM</vt:lpwstr>
  </property>
</Properties>
</file>