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38" w:rsidRDefault="00BE7138"/>
    <w:p w:rsidR="003D4717" w:rsidRPr="00141F87" w:rsidRDefault="003D4717" w:rsidP="003D4717">
      <w:pPr>
        <w:framePr w:w="2061" w:h="1289" w:hSpace="180" w:wrap="around" w:vAnchor="text" w:hAnchor="page" w:x="8797" w:y="-887"/>
        <w:rPr>
          <w:rFonts w:ascii="Arial" w:hAnsi="Arial" w:cs="Arial"/>
          <w:b/>
          <w:bCs/>
          <w:color w:val="FF0000"/>
          <w:sz w:val="32"/>
          <w:szCs w:val="52"/>
        </w:rPr>
      </w:pPr>
      <w:r w:rsidRPr="00141F87">
        <w:rPr>
          <w:rFonts w:ascii="Arial" w:hAnsi="Arial" w:cs="Arial"/>
          <w:b/>
          <w:bCs/>
          <w:color w:val="FF0000"/>
          <w:sz w:val="32"/>
          <w:szCs w:val="52"/>
        </w:rPr>
        <w:t xml:space="preserve">News </w:t>
      </w:r>
    </w:p>
    <w:p w:rsidR="003D4717" w:rsidRPr="00141F87" w:rsidRDefault="003D4717" w:rsidP="003D4717">
      <w:pPr>
        <w:framePr w:w="2061" w:h="1289" w:hSpace="180" w:wrap="around" w:vAnchor="text" w:hAnchor="page" w:x="8797" w:y="-887"/>
        <w:rPr>
          <w:rFonts w:ascii="Arial" w:hAnsi="Arial" w:cs="Arial"/>
          <w:b/>
          <w:bCs/>
          <w:color w:val="FF0000"/>
          <w:sz w:val="32"/>
          <w:szCs w:val="52"/>
        </w:rPr>
      </w:pPr>
      <w:r w:rsidRPr="00141F87">
        <w:rPr>
          <w:rFonts w:ascii="Arial" w:hAnsi="Arial" w:cs="Arial"/>
          <w:b/>
          <w:bCs/>
          <w:color w:val="FF0000"/>
          <w:sz w:val="32"/>
          <w:szCs w:val="52"/>
        </w:rPr>
        <w:t>Release</w:t>
      </w:r>
    </w:p>
    <w:p w:rsidR="003D4717" w:rsidRPr="00141F87" w:rsidRDefault="00D812C7" w:rsidP="003D4717">
      <w:pPr>
        <w:framePr w:w="2061" w:h="1289" w:hSpace="180" w:wrap="around" w:vAnchor="text" w:hAnchor="page" w:x="8797" w:y="-887"/>
        <w:rPr>
          <w:color w:val="FF0000"/>
          <w:sz w:val="14"/>
        </w:rPr>
      </w:pPr>
      <w:r>
        <w:rPr>
          <w:rFonts w:ascii="Arial" w:hAnsi="Arial" w:cs="Arial"/>
          <w:b/>
          <w:bCs/>
          <w:color w:val="FF0000"/>
          <w:sz w:val="32"/>
          <w:szCs w:val="52"/>
        </w:rPr>
        <w:t>FINAL</w:t>
      </w:r>
    </w:p>
    <w:p w:rsidR="00BE7138" w:rsidRDefault="006F6BAB">
      <w:pPr>
        <w:framePr w:w="10425" w:h="145" w:hSpace="180" w:wrap="around" w:vAnchor="text" w:hAnchor="page" w:x="1153" w:y="289"/>
      </w:pPr>
      <w:r>
        <w:t>____________________________________________________________________________________</w:t>
      </w:r>
    </w:p>
    <w:p w:rsidR="00BE7138" w:rsidRDefault="00BE7138"/>
    <w:p w:rsidR="00BE7138" w:rsidRDefault="00BE7138">
      <w:pPr>
        <w:rPr>
          <w:sz w:val="22"/>
          <w:szCs w:val="22"/>
        </w:rPr>
      </w:pPr>
    </w:p>
    <w:p w:rsidR="00855A38" w:rsidRDefault="00855A38" w:rsidP="00855A38"/>
    <w:p w:rsidR="00855A38" w:rsidRDefault="00855A38" w:rsidP="00855A38">
      <w:r>
        <w:t>Date:</w:t>
      </w:r>
      <w:r>
        <w:tab/>
      </w:r>
      <w:r>
        <w:tab/>
        <w:t>Sept. 12, 2012</w:t>
      </w:r>
    </w:p>
    <w:p w:rsidR="00855A38" w:rsidRDefault="00855A38" w:rsidP="00855A38"/>
    <w:p w:rsidR="00855A38" w:rsidRDefault="00855A38" w:rsidP="00855A38">
      <w:r>
        <w:t>For Release:</w:t>
      </w:r>
      <w:r>
        <w:tab/>
        <w:t>FOR IMMEDIATE RELEASE</w:t>
      </w:r>
    </w:p>
    <w:p w:rsidR="00855A38" w:rsidRDefault="00855A38" w:rsidP="00855A38">
      <w:pPr>
        <w:widowControl w:val="0"/>
        <w:autoSpaceDE w:val="0"/>
        <w:autoSpaceDN w:val="0"/>
        <w:adjustRightInd w:val="0"/>
        <w:ind w:right="-720"/>
        <w:rPr>
          <w:b/>
          <w:bCs/>
          <w:kern w:val="1"/>
        </w:rPr>
      </w:pPr>
    </w:p>
    <w:p w:rsidR="00855A38" w:rsidRDefault="00855A38">
      <w:pPr>
        <w:widowControl w:val="0"/>
        <w:autoSpaceDE w:val="0"/>
        <w:autoSpaceDN w:val="0"/>
        <w:adjustRightInd w:val="0"/>
        <w:ind w:right="-720"/>
        <w:jc w:val="center"/>
        <w:rPr>
          <w:b/>
          <w:bCs/>
          <w:kern w:val="1"/>
        </w:rPr>
      </w:pPr>
    </w:p>
    <w:p w:rsidR="00BE7138" w:rsidRDefault="006F6BAB">
      <w:pPr>
        <w:widowControl w:val="0"/>
        <w:autoSpaceDE w:val="0"/>
        <w:autoSpaceDN w:val="0"/>
        <w:adjustRightInd w:val="0"/>
        <w:ind w:right="-720"/>
        <w:jc w:val="center"/>
        <w:rPr>
          <w:b/>
          <w:bCs/>
          <w:kern w:val="1"/>
        </w:rPr>
      </w:pPr>
      <w:r>
        <w:rPr>
          <w:b/>
          <w:bCs/>
          <w:kern w:val="1"/>
        </w:rPr>
        <w:t xml:space="preserve">Entergy and ITC </w:t>
      </w:r>
      <w:r w:rsidR="003D4717">
        <w:rPr>
          <w:b/>
          <w:bCs/>
          <w:kern w:val="1"/>
        </w:rPr>
        <w:t>Continue</w:t>
      </w:r>
      <w:r>
        <w:rPr>
          <w:b/>
          <w:bCs/>
          <w:kern w:val="1"/>
        </w:rPr>
        <w:t xml:space="preserve"> Transaction Approval Process with</w:t>
      </w:r>
    </w:p>
    <w:p w:rsidR="00BE7138" w:rsidRDefault="00820DDD">
      <w:pPr>
        <w:widowControl w:val="0"/>
        <w:autoSpaceDE w:val="0"/>
        <w:autoSpaceDN w:val="0"/>
        <w:adjustRightInd w:val="0"/>
        <w:ind w:right="-720"/>
        <w:jc w:val="center"/>
        <w:rPr>
          <w:b/>
          <w:bCs/>
          <w:kern w:val="1"/>
        </w:rPr>
      </w:pPr>
      <w:r>
        <w:rPr>
          <w:b/>
          <w:bCs/>
          <w:kern w:val="1"/>
        </w:rPr>
        <w:t>New Orleans</w:t>
      </w:r>
      <w:r w:rsidR="00BE6D5F">
        <w:rPr>
          <w:b/>
          <w:bCs/>
          <w:kern w:val="1"/>
        </w:rPr>
        <w:t xml:space="preserve"> City</w:t>
      </w:r>
      <w:r w:rsidR="006F6BAB">
        <w:rPr>
          <w:b/>
          <w:bCs/>
          <w:kern w:val="1"/>
        </w:rPr>
        <w:t xml:space="preserve"> </w:t>
      </w:r>
      <w:r>
        <w:rPr>
          <w:b/>
          <w:bCs/>
          <w:kern w:val="1"/>
        </w:rPr>
        <w:t xml:space="preserve">Council </w:t>
      </w:r>
      <w:r w:rsidR="006F6BAB">
        <w:rPr>
          <w:b/>
          <w:bCs/>
          <w:kern w:val="1"/>
        </w:rPr>
        <w:t>Filing</w:t>
      </w:r>
    </w:p>
    <w:p w:rsidR="00BE7138" w:rsidRDefault="00BE7138">
      <w:pPr>
        <w:widowControl w:val="0"/>
        <w:autoSpaceDE w:val="0"/>
        <w:autoSpaceDN w:val="0"/>
        <w:adjustRightInd w:val="0"/>
        <w:ind w:right="-720"/>
        <w:jc w:val="center"/>
        <w:rPr>
          <w:b/>
          <w:bCs/>
          <w:i/>
          <w:kern w:val="1"/>
        </w:rPr>
      </w:pPr>
    </w:p>
    <w:p w:rsidR="00BE7138" w:rsidRDefault="006F6BAB">
      <w:pPr>
        <w:widowControl w:val="0"/>
        <w:autoSpaceDE w:val="0"/>
        <w:autoSpaceDN w:val="0"/>
        <w:adjustRightInd w:val="0"/>
        <w:spacing w:line="360" w:lineRule="auto"/>
        <w:ind w:right="-720"/>
        <w:rPr>
          <w:kern w:val="1"/>
        </w:rPr>
      </w:pPr>
      <w:r w:rsidRPr="00706B70">
        <w:rPr>
          <w:b/>
          <w:kern w:val="1"/>
        </w:rPr>
        <w:t>NEW ORLEANS, La. and NOVI, Mich.</w:t>
      </w:r>
      <w:r>
        <w:rPr>
          <w:kern w:val="1"/>
        </w:rPr>
        <w:t xml:space="preserve"> – Entergy Corporation (NYSE: ETR) and ITC Holdings Corp. (NYSE: ITC) </w:t>
      </w:r>
      <w:r w:rsidR="003D4717">
        <w:rPr>
          <w:kern w:val="1"/>
        </w:rPr>
        <w:t>continued</w:t>
      </w:r>
      <w:r>
        <w:rPr>
          <w:kern w:val="1"/>
        </w:rPr>
        <w:t xml:space="preserve"> </w:t>
      </w:r>
      <w:r w:rsidR="00855A38">
        <w:rPr>
          <w:kern w:val="1"/>
        </w:rPr>
        <w:t>a</w:t>
      </w:r>
      <w:r w:rsidR="00F25E39">
        <w:rPr>
          <w:kern w:val="1"/>
        </w:rPr>
        <w:t xml:space="preserve"> </w:t>
      </w:r>
      <w:r>
        <w:rPr>
          <w:kern w:val="1"/>
        </w:rPr>
        <w:t xml:space="preserve">multi-state and federal regulatory process </w:t>
      </w:r>
      <w:r w:rsidR="00FA7402">
        <w:rPr>
          <w:kern w:val="1"/>
        </w:rPr>
        <w:t>seeking approval</w:t>
      </w:r>
      <w:r>
        <w:rPr>
          <w:kern w:val="1"/>
        </w:rPr>
        <w:t xml:space="preserve"> for Entergy’s utility operating companies to spin off and merge their electric transmission businesses </w:t>
      </w:r>
      <w:r w:rsidR="00F10955">
        <w:rPr>
          <w:kern w:val="1"/>
        </w:rPr>
        <w:t>into</w:t>
      </w:r>
      <w:r>
        <w:rPr>
          <w:kern w:val="1"/>
        </w:rPr>
        <w:t xml:space="preserve"> a sub</w:t>
      </w:r>
      <w:bookmarkStart w:id="0" w:name="_GoBack"/>
      <w:bookmarkEnd w:id="0"/>
      <w:r>
        <w:rPr>
          <w:kern w:val="1"/>
        </w:rPr>
        <w:t xml:space="preserve">sidiary of ITC. </w:t>
      </w:r>
      <w:r w:rsidR="003D4717">
        <w:rPr>
          <w:kern w:val="1"/>
        </w:rPr>
        <w:t>Taking</w:t>
      </w:r>
      <w:r>
        <w:rPr>
          <w:kern w:val="1"/>
        </w:rPr>
        <w:t xml:space="preserve"> the </w:t>
      </w:r>
      <w:r w:rsidR="003D4717">
        <w:rPr>
          <w:kern w:val="1"/>
        </w:rPr>
        <w:t>next</w:t>
      </w:r>
      <w:r>
        <w:rPr>
          <w:kern w:val="1"/>
        </w:rPr>
        <w:t xml:space="preserve"> step in the process </w:t>
      </w:r>
      <w:r w:rsidR="00F93570">
        <w:rPr>
          <w:kern w:val="1"/>
        </w:rPr>
        <w:t>are</w:t>
      </w:r>
      <w:r>
        <w:rPr>
          <w:kern w:val="1"/>
        </w:rPr>
        <w:t xml:space="preserve"> Entergy </w:t>
      </w:r>
      <w:r w:rsidR="004932CC">
        <w:rPr>
          <w:kern w:val="1"/>
        </w:rPr>
        <w:t>New Orleans</w:t>
      </w:r>
      <w:r>
        <w:rPr>
          <w:kern w:val="1"/>
        </w:rPr>
        <w:t xml:space="preserve">, </w:t>
      </w:r>
      <w:r w:rsidR="00FD3AA8">
        <w:rPr>
          <w:kern w:val="1"/>
        </w:rPr>
        <w:t xml:space="preserve">Inc. </w:t>
      </w:r>
      <w:r w:rsidR="00BE6D5F">
        <w:rPr>
          <w:kern w:val="1"/>
        </w:rPr>
        <w:t>and Entergy Louisiana, LLC</w:t>
      </w:r>
      <w:r>
        <w:rPr>
          <w:kern w:val="1"/>
        </w:rPr>
        <w:t xml:space="preserve">, which, in conjunction with ITC and ITC </w:t>
      </w:r>
      <w:proofErr w:type="spellStart"/>
      <w:r>
        <w:rPr>
          <w:kern w:val="1"/>
        </w:rPr>
        <w:t>Midsouth</w:t>
      </w:r>
      <w:proofErr w:type="spellEnd"/>
      <w:r>
        <w:rPr>
          <w:kern w:val="1"/>
        </w:rPr>
        <w:t xml:space="preserve"> LLC, filed a joint application today with the </w:t>
      </w:r>
      <w:r w:rsidR="00FD3AA8">
        <w:rPr>
          <w:kern w:val="1"/>
        </w:rPr>
        <w:t xml:space="preserve">New Orleans </w:t>
      </w:r>
      <w:r w:rsidR="00BE6D5F">
        <w:rPr>
          <w:kern w:val="1"/>
        </w:rPr>
        <w:t xml:space="preserve">City </w:t>
      </w:r>
      <w:r w:rsidR="00FD3AA8">
        <w:rPr>
          <w:kern w:val="1"/>
        </w:rPr>
        <w:t>Council</w:t>
      </w:r>
      <w:r>
        <w:rPr>
          <w:kern w:val="1"/>
        </w:rPr>
        <w:t>.</w:t>
      </w:r>
    </w:p>
    <w:p w:rsidR="00931907" w:rsidRDefault="00931907">
      <w:pPr>
        <w:widowControl w:val="0"/>
        <w:autoSpaceDE w:val="0"/>
        <w:autoSpaceDN w:val="0"/>
        <w:adjustRightInd w:val="0"/>
        <w:spacing w:line="360" w:lineRule="auto"/>
        <w:ind w:right="-720"/>
        <w:rPr>
          <w:kern w:val="1"/>
        </w:rPr>
      </w:pPr>
    </w:p>
    <w:p w:rsidR="00C672B4" w:rsidRDefault="00C672B4">
      <w:pPr>
        <w:widowControl w:val="0"/>
        <w:autoSpaceDE w:val="0"/>
        <w:autoSpaceDN w:val="0"/>
        <w:adjustRightInd w:val="0"/>
        <w:spacing w:line="360" w:lineRule="auto"/>
        <w:ind w:right="-720"/>
        <w:rPr>
          <w:kern w:val="1"/>
        </w:rPr>
      </w:pPr>
      <w:r>
        <w:rPr>
          <w:kern w:val="1"/>
        </w:rPr>
        <w:t>Entergy and ITC initiated the regulatory process with a joint application filing with the Louisiana Public Service Commission on Sept. 5.</w:t>
      </w:r>
      <w:r w:rsidR="00C670AF">
        <w:rPr>
          <w:kern w:val="1"/>
        </w:rPr>
        <w:t xml:space="preserve">  </w:t>
      </w:r>
    </w:p>
    <w:p w:rsidR="00D30556" w:rsidRDefault="00D30556">
      <w:pPr>
        <w:widowControl w:val="0"/>
        <w:autoSpaceDE w:val="0"/>
        <w:autoSpaceDN w:val="0"/>
        <w:adjustRightInd w:val="0"/>
        <w:spacing w:line="360" w:lineRule="auto"/>
        <w:ind w:right="-720"/>
        <w:rPr>
          <w:kern w:val="1"/>
        </w:rPr>
      </w:pPr>
    </w:p>
    <w:p w:rsidR="00BE7138" w:rsidRDefault="006F6BAB">
      <w:pPr>
        <w:widowControl w:val="0"/>
        <w:autoSpaceDE w:val="0"/>
        <w:autoSpaceDN w:val="0"/>
        <w:adjustRightInd w:val="0"/>
        <w:spacing w:line="360" w:lineRule="auto"/>
        <w:ind w:right="-720"/>
        <w:rPr>
          <w:kern w:val="1"/>
        </w:rPr>
      </w:pPr>
      <w:r>
        <w:rPr>
          <w:kern w:val="1"/>
        </w:rPr>
        <w:t xml:space="preserve">Entergy is seeking approval to transfer approximately 15,800 miles of interconnected transmission lines at voltages of 69kV and above and the associated substations to ITC. ITC will then be one of the largest electric transmission companies in the U.S., with more than 30,000 miles of transmission lines spanning from the Great Lakes to the Gulf Coast. Meanwhile, Entergy’s </w:t>
      </w:r>
      <w:r w:rsidR="00FD3AA8">
        <w:rPr>
          <w:kern w:val="1"/>
        </w:rPr>
        <w:t xml:space="preserve">operating </w:t>
      </w:r>
      <w:r>
        <w:rPr>
          <w:kern w:val="1"/>
        </w:rPr>
        <w:t xml:space="preserve">companies will continue to own and operate their respective distribution and generation businesses and will provide customer service, billing, outage reporting and restoration services to homes and businesses in the region.  </w:t>
      </w:r>
    </w:p>
    <w:p w:rsidR="00BE7138" w:rsidRDefault="00BE7138">
      <w:pPr>
        <w:widowControl w:val="0"/>
        <w:autoSpaceDE w:val="0"/>
        <w:autoSpaceDN w:val="0"/>
        <w:adjustRightInd w:val="0"/>
        <w:spacing w:line="360" w:lineRule="auto"/>
        <w:ind w:right="-720"/>
        <w:rPr>
          <w:kern w:val="1"/>
        </w:rPr>
      </w:pPr>
    </w:p>
    <w:p w:rsidR="00844830" w:rsidRDefault="00FF2251">
      <w:pPr>
        <w:widowControl w:val="0"/>
        <w:autoSpaceDE w:val="0"/>
        <w:autoSpaceDN w:val="0"/>
        <w:adjustRightInd w:val="0"/>
        <w:spacing w:line="360" w:lineRule="auto"/>
        <w:ind w:right="-720"/>
        <w:rPr>
          <w:kern w:val="1"/>
        </w:rPr>
      </w:pPr>
      <w:r>
        <w:rPr>
          <w:kern w:val="1"/>
        </w:rPr>
        <w:t xml:space="preserve">Charles Rice, president and chief executive officer of Entergy New Orleans, </w:t>
      </w:r>
      <w:r w:rsidR="00844830">
        <w:rPr>
          <w:kern w:val="1"/>
        </w:rPr>
        <w:t xml:space="preserve">Inc. </w:t>
      </w:r>
      <w:r w:rsidR="00834A97">
        <w:rPr>
          <w:kern w:val="1"/>
        </w:rPr>
        <w:t>characterized the transaction a</w:t>
      </w:r>
      <w:r w:rsidR="00DC4584">
        <w:rPr>
          <w:kern w:val="1"/>
        </w:rPr>
        <w:t xml:space="preserve">s the strategic </w:t>
      </w:r>
      <w:r w:rsidR="00121A10">
        <w:rPr>
          <w:kern w:val="1"/>
        </w:rPr>
        <w:t>groundwork for the energy future of</w:t>
      </w:r>
      <w:r w:rsidR="00834A97">
        <w:rPr>
          <w:kern w:val="1"/>
        </w:rPr>
        <w:t xml:space="preserve"> the city and the region. </w:t>
      </w:r>
    </w:p>
    <w:p w:rsidR="00844830" w:rsidRDefault="00844830">
      <w:pPr>
        <w:widowControl w:val="0"/>
        <w:autoSpaceDE w:val="0"/>
        <w:autoSpaceDN w:val="0"/>
        <w:adjustRightInd w:val="0"/>
        <w:spacing w:line="360" w:lineRule="auto"/>
        <w:ind w:right="-720"/>
        <w:rPr>
          <w:kern w:val="1"/>
        </w:rPr>
      </w:pPr>
    </w:p>
    <w:p w:rsidR="00BE7138" w:rsidRDefault="00834A97">
      <w:pPr>
        <w:widowControl w:val="0"/>
        <w:autoSpaceDE w:val="0"/>
        <w:autoSpaceDN w:val="0"/>
        <w:adjustRightInd w:val="0"/>
        <w:spacing w:line="360" w:lineRule="auto"/>
        <w:ind w:right="-720"/>
        <w:rPr>
          <w:kern w:val="1"/>
        </w:rPr>
      </w:pPr>
      <w:r>
        <w:rPr>
          <w:kern w:val="1"/>
        </w:rPr>
        <w:t xml:space="preserve">“In a post-Katrina and post-Isaac world, few would argue with the benefits of </w:t>
      </w:r>
      <w:r w:rsidR="00AF5444">
        <w:rPr>
          <w:kern w:val="1"/>
        </w:rPr>
        <w:t>reliable</w:t>
      </w:r>
      <w:r>
        <w:rPr>
          <w:kern w:val="1"/>
        </w:rPr>
        <w:t xml:space="preserve"> infrastructure</w:t>
      </w:r>
      <w:r w:rsidR="00F10955">
        <w:rPr>
          <w:kern w:val="1"/>
        </w:rPr>
        <w:t xml:space="preserve"> – </w:t>
      </w:r>
      <w:r>
        <w:rPr>
          <w:kern w:val="1"/>
        </w:rPr>
        <w:t xml:space="preserve">whether that’s roads and bridges, levees or the electric grid,” Rice said. “This transaction is a key element of our strategy </w:t>
      </w:r>
      <w:r w:rsidR="00F93570">
        <w:rPr>
          <w:kern w:val="1"/>
        </w:rPr>
        <w:t>for providing financial strength for</w:t>
      </w:r>
      <w:r w:rsidR="00FD3AA8">
        <w:rPr>
          <w:kern w:val="1"/>
        </w:rPr>
        <w:t xml:space="preserve"> </w:t>
      </w:r>
      <w:r w:rsidR="009B71ED">
        <w:rPr>
          <w:kern w:val="1"/>
        </w:rPr>
        <w:t xml:space="preserve">the investments </w:t>
      </w:r>
      <w:r w:rsidR="00F93570">
        <w:rPr>
          <w:kern w:val="1"/>
        </w:rPr>
        <w:t xml:space="preserve">that will be necessary in the future </w:t>
      </w:r>
      <w:r w:rsidR="009B71ED">
        <w:rPr>
          <w:kern w:val="1"/>
        </w:rPr>
        <w:t>to build and maintain a reliable, cost-efficient e</w:t>
      </w:r>
      <w:r w:rsidR="00AF5444">
        <w:rPr>
          <w:kern w:val="1"/>
        </w:rPr>
        <w:t>lectr</w:t>
      </w:r>
      <w:r w:rsidR="00C26D0D">
        <w:rPr>
          <w:kern w:val="1"/>
        </w:rPr>
        <w:t>i</w:t>
      </w:r>
      <w:r w:rsidR="00AF5444">
        <w:rPr>
          <w:kern w:val="1"/>
        </w:rPr>
        <w:t xml:space="preserve">c </w:t>
      </w:r>
      <w:r w:rsidR="00DC4584">
        <w:rPr>
          <w:kern w:val="1"/>
        </w:rPr>
        <w:t>system</w:t>
      </w:r>
      <w:r w:rsidR="009B71ED">
        <w:rPr>
          <w:kern w:val="1"/>
        </w:rPr>
        <w:t>.”</w:t>
      </w:r>
    </w:p>
    <w:p w:rsidR="00BE7138" w:rsidRDefault="00BE7138">
      <w:pPr>
        <w:widowControl w:val="0"/>
        <w:autoSpaceDE w:val="0"/>
        <w:autoSpaceDN w:val="0"/>
        <w:adjustRightInd w:val="0"/>
        <w:spacing w:line="360" w:lineRule="auto"/>
        <w:ind w:right="-720"/>
        <w:rPr>
          <w:kern w:val="1"/>
        </w:rPr>
      </w:pPr>
    </w:p>
    <w:p w:rsidR="00844830" w:rsidRDefault="006F6BAB" w:rsidP="00C672B4">
      <w:pPr>
        <w:autoSpaceDE w:val="0"/>
        <w:autoSpaceDN w:val="0"/>
        <w:spacing w:line="360" w:lineRule="auto"/>
        <w:rPr>
          <w:bCs/>
          <w:iCs/>
        </w:rPr>
      </w:pPr>
      <w:r>
        <w:rPr>
          <w:bCs/>
          <w:iCs/>
        </w:rPr>
        <w:lastRenderedPageBreak/>
        <w:t>Joseph L. Welch, ITC chairman, president and chief executive officer agreed</w:t>
      </w:r>
      <w:r w:rsidR="00C672B4">
        <w:rPr>
          <w:bCs/>
          <w:iCs/>
        </w:rPr>
        <w:t xml:space="preserve">.  </w:t>
      </w:r>
    </w:p>
    <w:p w:rsidR="00844830" w:rsidRDefault="00844830" w:rsidP="00C672B4">
      <w:pPr>
        <w:autoSpaceDE w:val="0"/>
        <w:autoSpaceDN w:val="0"/>
        <w:spacing w:line="360" w:lineRule="auto"/>
        <w:rPr>
          <w:bCs/>
          <w:iCs/>
        </w:rPr>
      </w:pPr>
    </w:p>
    <w:p w:rsidR="00C672B4" w:rsidRPr="00C672B4" w:rsidRDefault="00C672B4" w:rsidP="00C672B4">
      <w:pPr>
        <w:autoSpaceDE w:val="0"/>
        <w:autoSpaceDN w:val="0"/>
        <w:spacing w:line="360" w:lineRule="auto"/>
        <w:rPr>
          <w:bCs/>
          <w:iCs/>
        </w:rPr>
      </w:pPr>
      <w:r w:rsidRPr="00C672B4">
        <w:rPr>
          <w:bCs/>
          <w:iCs/>
        </w:rPr>
        <w:t xml:space="preserve">“While ITC transmits electricity across numerous states, we also </w:t>
      </w:r>
      <w:r w:rsidR="00F25E39">
        <w:rPr>
          <w:bCs/>
          <w:iCs/>
        </w:rPr>
        <w:t>appreciate</w:t>
      </w:r>
      <w:r w:rsidR="00F25E39" w:rsidRPr="00C672B4">
        <w:rPr>
          <w:bCs/>
          <w:iCs/>
        </w:rPr>
        <w:t xml:space="preserve"> </w:t>
      </w:r>
      <w:r w:rsidRPr="00C672B4">
        <w:rPr>
          <w:bCs/>
          <w:iCs/>
        </w:rPr>
        <w:t xml:space="preserve">that transmission is a local issue to the communities </w:t>
      </w:r>
      <w:r w:rsidR="00F25E39">
        <w:rPr>
          <w:bCs/>
          <w:iCs/>
        </w:rPr>
        <w:t>we serve</w:t>
      </w:r>
      <w:r w:rsidR="00844830">
        <w:rPr>
          <w:bCs/>
          <w:iCs/>
        </w:rPr>
        <w:t>,” said Welch. “</w:t>
      </w:r>
      <w:r w:rsidR="008872FF">
        <w:rPr>
          <w:bCs/>
          <w:iCs/>
        </w:rPr>
        <w:t>T</w:t>
      </w:r>
      <w:r w:rsidR="008872FF" w:rsidRPr="00C672B4">
        <w:rPr>
          <w:bCs/>
          <w:iCs/>
        </w:rPr>
        <w:t xml:space="preserve">ransmission </w:t>
      </w:r>
      <w:r w:rsidR="008872FF">
        <w:rPr>
          <w:bCs/>
          <w:iCs/>
        </w:rPr>
        <w:t xml:space="preserve">is </w:t>
      </w:r>
      <w:r w:rsidR="008872FF" w:rsidRPr="00C672B4">
        <w:rPr>
          <w:bCs/>
          <w:iCs/>
        </w:rPr>
        <w:t>critical</w:t>
      </w:r>
      <w:r w:rsidR="008872FF">
        <w:rPr>
          <w:bCs/>
          <w:iCs/>
        </w:rPr>
        <w:t xml:space="preserve"> for communities to advance economic development, electric reliability, and the ability for all</w:t>
      </w:r>
      <w:r w:rsidR="003E3663">
        <w:rPr>
          <w:bCs/>
          <w:iCs/>
        </w:rPr>
        <w:t xml:space="preserve"> customers</w:t>
      </w:r>
      <w:r w:rsidR="008872FF">
        <w:rPr>
          <w:bCs/>
          <w:iCs/>
        </w:rPr>
        <w:t xml:space="preserve"> to realize the benefits of a robust wholesa</w:t>
      </w:r>
      <w:r w:rsidR="00844830">
        <w:rPr>
          <w:bCs/>
          <w:iCs/>
        </w:rPr>
        <w:t xml:space="preserve">le market. </w:t>
      </w:r>
      <w:r w:rsidR="008872FF">
        <w:rPr>
          <w:bCs/>
          <w:iCs/>
        </w:rPr>
        <w:t>ITC</w:t>
      </w:r>
      <w:r w:rsidR="008872FF" w:rsidRPr="00C672B4">
        <w:rPr>
          <w:bCs/>
          <w:iCs/>
        </w:rPr>
        <w:t xml:space="preserve"> </w:t>
      </w:r>
      <w:r w:rsidRPr="00C672B4">
        <w:rPr>
          <w:bCs/>
          <w:iCs/>
        </w:rPr>
        <w:t>work</w:t>
      </w:r>
      <w:r w:rsidR="008872FF">
        <w:rPr>
          <w:bCs/>
          <w:iCs/>
        </w:rPr>
        <w:t>s</w:t>
      </w:r>
      <w:r w:rsidRPr="00C672B4">
        <w:rPr>
          <w:bCs/>
          <w:iCs/>
        </w:rPr>
        <w:t xml:space="preserve"> hard to be a good neighbor and a positive part of the communities</w:t>
      </w:r>
      <w:r w:rsidR="008872FF">
        <w:rPr>
          <w:bCs/>
          <w:iCs/>
        </w:rPr>
        <w:t xml:space="preserve"> where </w:t>
      </w:r>
      <w:r w:rsidR="004A1439">
        <w:rPr>
          <w:bCs/>
          <w:iCs/>
        </w:rPr>
        <w:t>our</w:t>
      </w:r>
      <w:r w:rsidR="008872FF">
        <w:rPr>
          <w:bCs/>
          <w:iCs/>
        </w:rPr>
        <w:t xml:space="preserve"> assets are located</w:t>
      </w:r>
      <w:r w:rsidR="003E3663">
        <w:rPr>
          <w:bCs/>
          <w:iCs/>
        </w:rPr>
        <w:t>,</w:t>
      </w:r>
      <w:r w:rsidR="008872FF">
        <w:rPr>
          <w:bCs/>
          <w:iCs/>
        </w:rPr>
        <w:t xml:space="preserve"> and we</w:t>
      </w:r>
      <w:r w:rsidRPr="00C672B4">
        <w:rPr>
          <w:bCs/>
          <w:iCs/>
        </w:rPr>
        <w:t xml:space="preserve"> will bring this philosophy to </w:t>
      </w:r>
      <w:r w:rsidR="008872FF">
        <w:rPr>
          <w:bCs/>
          <w:iCs/>
        </w:rPr>
        <w:t>our</w:t>
      </w:r>
      <w:r w:rsidR="008872FF" w:rsidRPr="00C672B4">
        <w:rPr>
          <w:bCs/>
          <w:iCs/>
        </w:rPr>
        <w:t xml:space="preserve"> </w:t>
      </w:r>
      <w:r w:rsidRPr="00C672B4">
        <w:rPr>
          <w:bCs/>
          <w:iCs/>
        </w:rPr>
        <w:t>operations in New Orleans.</w:t>
      </w:r>
      <w:r w:rsidR="008872FF">
        <w:rPr>
          <w:bCs/>
          <w:iCs/>
        </w:rPr>
        <w:t>”</w:t>
      </w:r>
      <w:r w:rsidRPr="00C672B4">
        <w:rPr>
          <w:bCs/>
          <w:iCs/>
        </w:rPr>
        <w:t xml:space="preserve"> </w:t>
      </w:r>
    </w:p>
    <w:p w:rsidR="00BE7138" w:rsidRDefault="00BE7138">
      <w:pPr>
        <w:autoSpaceDE w:val="0"/>
        <w:autoSpaceDN w:val="0"/>
        <w:spacing w:line="360" w:lineRule="auto"/>
        <w:rPr>
          <w:bCs/>
          <w:iCs/>
        </w:rPr>
      </w:pPr>
    </w:p>
    <w:p w:rsidR="00BE7138" w:rsidRDefault="006F6BAB">
      <w:pPr>
        <w:widowControl w:val="0"/>
        <w:autoSpaceDE w:val="0"/>
        <w:autoSpaceDN w:val="0"/>
        <w:adjustRightInd w:val="0"/>
        <w:spacing w:line="360" w:lineRule="auto"/>
        <w:ind w:right="-720"/>
        <w:rPr>
          <w:bCs/>
          <w:iCs/>
        </w:rPr>
      </w:pPr>
      <w:r>
        <w:rPr>
          <w:kern w:val="1"/>
        </w:rPr>
        <w:t xml:space="preserve">Infrastructure investment is among the many challenges that the U.S. electric industry is facing. The electric industry – and Entergy’s operating companies – face growing demands to keep pace with the capital investment requirements necessary to maintain and upgrade infrastructure, meet environmental regulations and serve an energy-intensive economy. </w:t>
      </w:r>
      <w:r>
        <w:rPr>
          <w:bCs/>
          <w:iCs/>
        </w:rPr>
        <w:t>The transaction addresses these challenges head-on, providing separate</w:t>
      </w:r>
      <w:r w:rsidR="006415E7">
        <w:rPr>
          <w:bCs/>
          <w:iCs/>
        </w:rPr>
        <w:t>,</w:t>
      </w:r>
      <w:r>
        <w:rPr>
          <w:bCs/>
          <w:iCs/>
        </w:rPr>
        <w:t xml:space="preserve"> strong balance sheets that afford greater capability to finance infrastructure requirements, with ITC focused on transmission and Entergy</w:t>
      </w:r>
      <w:r w:rsidR="006415E7">
        <w:rPr>
          <w:bCs/>
          <w:iCs/>
        </w:rPr>
        <w:t>’s operating companies</w:t>
      </w:r>
      <w:r>
        <w:rPr>
          <w:bCs/>
          <w:iCs/>
        </w:rPr>
        <w:t xml:space="preserve"> on generation and distribution.</w:t>
      </w:r>
    </w:p>
    <w:p w:rsidR="00BE7138" w:rsidRDefault="00BE7138">
      <w:pPr>
        <w:widowControl w:val="0"/>
        <w:autoSpaceDE w:val="0"/>
        <w:autoSpaceDN w:val="0"/>
        <w:adjustRightInd w:val="0"/>
        <w:spacing w:line="360" w:lineRule="auto"/>
        <w:ind w:right="-720"/>
        <w:rPr>
          <w:bCs/>
          <w:iCs/>
        </w:rPr>
      </w:pPr>
    </w:p>
    <w:p w:rsidR="00BE7138" w:rsidRDefault="006F6BAB">
      <w:pPr>
        <w:widowControl w:val="0"/>
        <w:autoSpaceDE w:val="0"/>
        <w:autoSpaceDN w:val="0"/>
        <w:adjustRightInd w:val="0"/>
        <w:spacing w:line="360" w:lineRule="auto"/>
        <w:ind w:right="-720"/>
        <w:rPr>
          <w:i/>
          <w:iCs/>
          <w:kern w:val="1"/>
        </w:rPr>
      </w:pPr>
      <w:r>
        <w:rPr>
          <w:bCs/>
          <w:iCs/>
        </w:rPr>
        <w:t xml:space="preserve">Moreover, this transaction places transmission in the hands of a singularly focused, independent company with industry-leading performance in the areas of operations and maintenance of transmission assets, as well as </w:t>
      </w:r>
      <w:r w:rsidR="006415E7">
        <w:rPr>
          <w:bCs/>
          <w:iCs/>
        </w:rPr>
        <w:t>application of</w:t>
      </w:r>
      <w:r>
        <w:rPr>
          <w:bCs/>
          <w:iCs/>
        </w:rPr>
        <w:t xml:space="preserve"> broad regional planning for transmission investment designed to facilitate the delivery of low cost energy. </w:t>
      </w:r>
    </w:p>
    <w:p w:rsidR="00BE7138" w:rsidRDefault="00BE7138">
      <w:pPr>
        <w:autoSpaceDE w:val="0"/>
        <w:autoSpaceDN w:val="0"/>
        <w:spacing w:line="360" w:lineRule="auto"/>
      </w:pPr>
    </w:p>
    <w:p w:rsidR="00BE7138" w:rsidRDefault="006F6BAB">
      <w:pPr>
        <w:widowControl w:val="0"/>
        <w:autoSpaceDE w:val="0"/>
        <w:autoSpaceDN w:val="0"/>
        <w:adjustRightInd w:val="0"/>
        <w:spacing w:line="360" w:lineRule="auto"/>
        <w:ind w:right="-720"/>
        <w:jc w:val="center"/>
        <w:rPr>
          <w:kern w:val="1"/>
        </w:rPr>
      </w:pPr>
      <w:r>
        <w:rPr>
          <w:b/>
          <w:kern w:val="1"/>
        </w:rPr>
        <w:t>Additional Transaction Facts and Next Steps</w:t>
      </w:r>
    </w:p>
    <w:p w:rsidR="00BE7138" w:rsidRDefault="006F6BAB">
      <w:pPr>
        <w:widowControl w:val="0"/>
        <w:autoSpaceDE w:val="0"/>
        <w:autoSpaceDN w:val="0"/>
        <w:adjustRightInd w:val="0"/>
        <w:spacing w:line="360" w:lineRule="auto"/>
        <w:ind w:right="-720"/>
        <w:rPr>
          <w:kern w:val="1"/>
        </w:rPr>
      </w:pPr>
      <w:r>
        <w:rPr>
          <w:bCs/>
          <w:kern w:val="1"/>
        </w:rPr>
        <w:t>In addition to the miles of transmission lines and acres of substations involved in the transaction,</w:t>
      </w:r>
      <w:r>
        <w:rPr>
          <w:kern w:val="1"/>
        </w:rPr>
        <w:t xml:space="preserve"> approximately 750 Entergy employees, including key leadership personnel from Entergy’s transmission business, will become employees of ITC. ITC will establish and maintain a regional headquarters in Jackson, Miss., where the headquarters of Entergy’s transmission business is currently located</w:t>
      </w:r>
      <w:r w:rsidR="00534A11">
        <w:rPr>
          <w:kern w:val="1"/>
        </w:rPr>
        <w:t>.</w:t>
      </w:r>
      <w:r>
        <w:rPr>
          <w:kern w:val="1"/>
        </w:rPr>
        <w:t xml:space="preserve"> ITC also </w:t>
      </w:r>
      <w:r w:rsidR="00C672B4">
        <w:rPr>
          <w:kern w:val="1"/>
        </w:rPr>
        <w:t xml:space="preserve">will </w:t>
      </w:r>
      <w:r>
        <w:rPr>
          <w:kern w:val="1"/>
        </w:rPr>
        <w:t xml:space="preserve">have offices and warehouses throughout the service territory to ensure a local presence and timely response to stakeholder and system needs. Details regarding the transaction are provided in the </w:t>
      </w:r>
      <w:r w:rsidR="00C672B4">
        <w:rPr>
          <w:kern w:val="1"/>
        </w:rPr>
        <w:t>New Orleans</w:t>
      </w:r>
      <w:r w:rsidR="00832223">
        <w:rPr>
          <w:kern w:val="1"/>
        </w:rPr>
        <w:t xml:space="preserve"> City Council</w:t>
      </w:r>
      <w:r>
        <w:rPr>
          <w:kern w:val="1"/>
        </w:rPr>
        <w:t xml:space="preserve"> filing.</w:t>
      </w:r>
    </w:p>
    <w:p w:rsidR="00BE7138" w:rsidRDefault="00BE7138">
      <w:pPr>
        <w:widowControl w:val="0"/>
        <w:autoSpaceDE w:val="0"/>
        <w:autoSpaceDN w:val="0"/>
        <w:adjustRightInd w:val="0"/>
        <w:spacing w:line="360" w:lineRule="auto"/>
        <w:ind w:right="-720"/>
        <w:rPr>
          <w:kern w:val="1"/>
        </w:rPr>
      </w:pPr>
    </w:p>
    <w:p w:rsidR="00BE7138" w:rsidRDefault="003C6C07">
      <w:pPr>
        <w:widowControl w:val="0"/>
        <w:autoSpaceDE w:val="0"/>
        <w:autoSpaceDN w:val="0"/>
        <w:adjustRightInd w:val="0"/>
        <w:spacing w:line="360" w:lineRule="auto"/>
        <w:ind w:right="-720"/>
        <w:rPr>
          <w:kern w:val="1"/>
        </w:rPr>
      </w:pPr>
      <w:r>
        <w:rPr>
          <w:kern w:val="1"/>
        </w:rPr>
        <w:t xml:space="preserve">Key </w:t>
      </w:r>
      <w:r w:rsidR="006F6BAB">
        <w:rPr>
          <w:kern w:val="1"/>
        </w:rPr>
        <w:t xml:space="preserve">ITC personnel were onsite at Entergy’s system command center in Jackson </w:t>
      </w:r>
      <w:r w:rsidR="00C672B4">
        <w:rPr>
          <w:kern w:val="1"/>
        </w:rPr>
        <w:t>during Hurricane Isaac</w:t>
      </w:r>
      <w:r w:rsidR="006F6BAB">
        <w:rPr>
          <w:kern w:val="1"/>
        </w:rPr>
        <w:t xml:space="preserve"> </w:t>
      </w:r>
      <w:r w:rsidR="00F42DB9">
        <w:rPr>
          <w:kern w:val="1"/>
        </w:rPr>
        <w:t>to observe</w:t>
      </w:r>
      <w:r w:rsidR="006F6BAB">
        <w:rPr>
          <w:kern w:val="1"/>
        </w:rPr>
        <w:t xml:space="preserve"> storm response operations. Integration efforts to ensure storm readiness and response are </w:t>
      </w:r>
      <w:r w:rsidR="006F6BAB">
        <w:rPr>
          <w:kern w:val="1"/>
        </w:rPr>
        <w:lastRenderedPageBreak/>
        <w:t>among the key operational matters being addressed by the two companies.</w:t>
      </w:r>
    </w:p>
    <w:p w:rsidR="00BE7138" w:rsidRDefault="00BE7138">
      <w:pPr>
        <w:widowControl w:val="0"/>
        <w:autoSpaceDE w:val="0"/>
        <w:autoSpaceDN w:val="0"/>
        <w:adjustRightInd w:val="0"/>
        <w:spacing w:line="360" w:lineRule="auto"/>
        <w:ind w:right="-720"/>
        <w:rPr>
          <w:kern w:val="1"/>
        </w:rPr>
      </w:pPr>
    </w:p>
    <w:p w:rsidR="00BE7138" w:rsidRDefault="006F6BAB">
      <w:pPr>
        <w:widowControl w:val="0"/>
        <w:autoSpaceDE w:val="0"/>
        <w:autoSpaceDN w:val="0"/>
        <w:adjustRightInd w:val="0"/>
        <w:spacing w:line="360" w:lineRule="auto"/>
        <w:ind w:right="-720"/>
        <w:rPr>
          <w:kern w:val="1"/>
        </w:rPr>
      </w:pPr>
      <w:r>
        <w:rPr>
          <w:kern w:val="1"/>
        </w:rPr>
        <w:t>The remaining regulatory filings for the transaction will be completed in the fall.  Subsequent filings are planned for Arkansas, Mississippi, Missouri and Texas as well as with the Federal Energy Regulatory Commission. The companies target a transaction close in 2013 pending receipt of all required regulatory approvals and satisfaction of other closing conditions.</w:t>
      </w:r>
    </w:p>
    <w:p w:rsidR="00BE7138" w:rsidRDefault="00BE7138">
      <w:pPr>
        <w:widowControl w:val="0"/>
        <w:autoSpaceDE w:val="0"/>
        <w:autoSpaceDN w:val="0"/>
        <w:adjustRightInd w:val="0"/>
        <w:spacing w:line="360" w:lineRule="auto"/>
        <w:ind w:right="-720"/>
        <w:rPr>
          <w:kern w:val="1"/>
        </w:rPr>
      </w:pPr>
    </w:p>
    <w:p w:rsidR="00BE7138" w:rsidRDefault="006F6BAB">
      <w:pPr>
        <w:widowControl w:val="0"/>
        <w:autoSpaceDE w:val="0"/>
        <w:autoSpaceDN w:val="0"/>
        <w:adjustRightInd w:val="0"/>
        <w:spacing w:line="360" w:lineRule="auto"/>
        <w:ind w:right="-720"/>
        <w:rPr>
          <w:kern w:val="1"/>
        </w:rPr>
      </w:pPr>
      <w:r>
        <w:rPr>
          <w:kern w:val="1"/>
        </w:rPr>
        <w:t xml:space="preserve">More information about the transaction can be viewed </w:t>
      </w:r>
      <w:hyperlink r:id="rId8" w:history="1">
        <w:r w:rsidR="00CB7898" w:rsidRPr="00CB7898">
          <w:rPr>
            <w:rStyle w:val="Hyperlink"/>
            <w:kern w:val="1"/>
          </w:rPr>
          <w:t>here</w:t>
        </w:r>
      </w:hyperlink>
      <w:r w:rsidR="00CB7898">
        <w:rPr>
          <w:kern w:val="1"/>
        </w:rPr>
        <w:t xml:space="preserve"> </w:t>
      </w:r>
      <w:r>
        <w:rPr>
          <w:kern w:val="1"/>
        </w:rPr>
        <w:t xml:space="preserve">on ITC’s website, or </w:t>
      </w:r>
      <w:hyperlink r:id="rId9" w:history="1">
        <w:r>
          <w:rPr>
            <w:color w:val="0000FF"/>
            <w:kern w:val="1"/>
            <w:u w:val="single" w:color="0000FF"/>
          </w:rPr>
          <w:t>here</w:t>
        </w:r>
      </w:hyperlink>
      <w:r>
        <w:rPr>
          <w:kern w:val="1"/>
        </w:rPr>
        <w:t xml:space="preserve"> on Entergy’s website.</w:t>
      </w:r>
    </w:p>
    <w:p w:rsidR="00BE7138" w:rsidRDefault="006F6BAB">
      <w:pPr>
        <w:widowControl w:val="0"/>
        <w:autoSpaceDE w:val="0"/>
        <w:autoSpaceDN w:val="0"/>
        <w:adjustRightInd w:val="0"/>
        <w:spacing w:line="360" w:lineRule="auto"/>
        <w:ind w:right="-720"/>
        <w:jc w:val="center"/>
        <w:rPr>
          <w:kern w:val="1"/>
        </w:rPr>
      </w:pPr>
      <w:r>
        <w:rPr>
          <w:kern w:val="1"/>
        </w:rPr>
        <w:t>###</w:t>
      </w:r>
    </w:p>
    <w:p w:rsidR="00BE7138" w:rsidRDefault="00BE7138">
      <w:pPr>
        <w:rPr>
          <w:kern w:val="1"/>
        </w:rPr>
      </w:pPr>
    </w:p>
    <w:p w:rsidR="00BE7138" w:rsidRDefault="00BE7138">
      <w:pPr>
        <w:widowControl w:val="0"/>
        <w:autoSpaceDE w:val="0"/>
        <w:autoSpaceDN w:val="0"/>
        <w:adjustRightInd w:val="0"/>
        <w:spacing w:line="360" w:lineRule="auto"/>
        <w:ind w:right="-720"/>
        <w:rPr>
          <w:kern w:val="1"/>
          <w:sz w:val="2"/>
        </w:rPr>
      </w:pPr>
    </w:p>
    <w:p w:rsidR="00BE7138" w:rsidRDefault="006F6BAB">
      <w:pPr>
        <w:widowControl w:val="0"/>
        <w:autoSpaceDE w:val="0"/>
        <w:autoSpaceDN w:val="0"/>
        <w:adjustRightInd w:val="0"/>
        <w:ind w:right="-720"/>
        <w:jc w:val="center"/>
        <w:rPr>
          <w:b/>
          <w:bCs/>
          <w:kern w:val="1"/>
        </w:rPr>
      </w:pPr>
      <w:proofErr w:type="gramStart"/>
      <w:r>
        <w:rPr>
          <w:b/>
          <w:bCs/>
          <w:kern w:val="1"/>
        </w:rPr>
        <w:t>About ITC Holdings Corp.</w:t>
      </w:r>
      <w:proofErr w:type="gramEnd"/>
    </w:p>
    <w:p w:rsidR="00BE7138" w:rsidRDefault="006F6BAB">
      <w:pPr>
        <w:widowControl w:val="0"/>
        <w:autoSpaceDE w:val="0"/>
        <w:autoSpaceDN w:val="0"/>
        <w:adjustRightInd w:val="0"/>
        <w:spacing w:before="240"/>
        <w:ind w:right="-720"/>
        <w:rPr>
          <w:kern w:val="1"/>
        </w:rPr>
      </w:pPr>
      <w:r>
        <w:rPr>
          <w:kern w:val="1"/>
        </w:rPr>
        <w:t xml:space="preserve">ITC Holdings Corp. (NYSE: ITC) is the nation’s largest independent electric transmission company. Based in Novi, Michigan, ITC invests in the electric transmission grid to improve reliability, expand access to markets, lower the overall cost of delivered energy and allow new generating resources to interconnect to its transmission systems. ITC’s regulated operating subsidiaries include </w:t>
      </w:r>
      <w:proofErr w:type="spellStart"/>
      <w:r>
        <w:rPr>
          <w:kern w:val="1"/>
        </w:rPr>
        <w:t>ITC</w:t>
      </w:r>
      <w:r>
        <w:rPr>
          <w:i/>
          <w:iCs/>
          <w:kern w:val="1"/>
        </w:rPr>
        <w:t>Transmission</w:t>
      </w:r>
      <w:proofErr w:type="spellEnd"/>
      <w:r>
        <w:rPr>
          <w:kern w:val="1"/>
        </w:rPr>
        <w:t>, Michigan Electric Transmission Company, ITC Midwest and ITC Great Plains. Through these subsidiaries, ITC owns and operates high-voltage transmission facilities in Michigan, Iowa, Minnesota, Illinois, Missouri, Kansas and Oklahoma, serving a combined peak load exceeding 26,000 megawatts along 15,000 circuit miles of transmission line. Through ITC Grid Development and its subsidiaries, the company also focuses on expansion in areas where significant transmission system improvements are needed. For more information, please visit ITC’s website at</w:t>
      </w:r>
      <w:r>
        <w:rPr>
          <w:kern w:val="1"/>
          <w:u w:val="single"/>
        </w:rPr>
        <w:t xml:space="preserve"> </w:t>
      </w:r>
      <w:hyperlink r:id="rId10" w:history="1">
        <w:r>
          <w:rPr>
            <w:color w:val="0000FF"/>
            <w:kern w:val="1"/>
            <w:u w:val="single" w:color="0000FF"/>
          </w:rPr>
          <w:t>www.itc-holdings.com</w:t>
        </w:r>
      </w:hyperlink>
      <w:r>
        <w:rPr>
          <w:kern w:val="1"/>
          <w:u w:val="single"/>
        </w:rPr>
        <w:t>.</w:t>
      </w:r>
      <w:r>
        <w:rPr>
          <w:kern w:val="1"/>
        </w:rPr>
        <w:t xml:space="preserve"> (</w:t>
      </w:r>
      <w:proofErr w:type="spellStart"/>
      <w:proofErr w:type="gramStart"/>
      <w:r>
        <w:rPr>
          <w:kern w:val="1"/>
        </w:rPr>
        <w:t>itc</w:t>
      </w:r>
      <w:proofErr w:type="spellEnd"/>
      <w:r>
        <w:rPr>
          <w:kern w:val="1"/>
        </w:rPr>
        <w:t>-ITC</w:t>
      </w:r>
      <w:proofErr w:type="gramEnd"/>
      <w:r>
        <w:rPr>
          <w:kern w:val="1"/>
        </w:rPr>
        <w:t>)</w:t>
      </w:r>
    </w:p>
    <w:p w:rsidR="001229CE" w:rsidRDefault="001229CE">
      <w:pPr>
        <w:widowControl w:val="0"/>
        <w:autoSpaceDE w:val="0"/>
        <w:autoSpaceDN w:val="0"/>
        <w:adjustRightInd w:val="0"/>
        <w:spacing w:before="240"/>
        <w:ind w:right="-720"/>
        <w:rPr>
          <w:kern w:val="1"/>
        </w:rPr>
      </w:pPr>
    </w:p>
    <w:p w:rsidR="00FD2E8B" w:rsidRDefault="001229CE" w:rsidP="00315AFB">
      <w:pPr>
        <w:widowControl w:val="0"/>
        <w:autoSpaceDE w:val="0"/>
        <w:autoSpaceDN w:val="0"/>
        <w:adjustRightInd w:val="0"/>
        <w:ind w:right="-720"/>
        <w:jc w:val="center"/>
        <w:rPr>
          <w:b/>
          <w:bCs/>
          <w:kern w:val="2"/>
        </w:rPr>
      </w:pPr>
      <w:r>
        <w:rPr>
          <w:b/>
          <w:bCs/>
          <w:kern w:val="2"/>
        </w:rPr>
        <w:t>About Entergy New Orleans, Inc. and Entergy Louisiana, LLC</w:t>
      </w:r>
    </w:p>
    <w:p w:rsidR="00FD2E8B" w:rsidRDefault="00FD2E8B" w:rsidP="00315AFB">
      <w:pPr>
        <w:rPr>
          <w:b/>
          <w:bCs/>
          <w:kern w:val="2"/>
        </w:rPr>
      </w:pPr>
    </w:p>
    <w:p w:rsidR="00FD2E8B" w:rsidRPr="00315AFB" w:rsidRDefault="005B13E9" w:rsidP="00315AFB">
      <w:pPr>
        <w:rPr>
          <w:color w:val="1F497D"/>
        </w:rPr>
      </w:pPr>
      <w:r w:rsidRPr="00315AFB">
        <w:rPr>
          <w:iCs/>
        </w:rPr>
        <w:t>Entergy New Orleans, Inc. is an electric and gas utility serving Orleans Parish and is a subsidiary of Entergy Corporation. The company provides electricity to more than 160,000 customers and natural gas to more than 100,000 customers in Orleans Parish. Meanwhile,</w:t>
      </w:r>
      <w:r w:rsidR="001229CE">
        <w:rPr>
          <w:i/>
          <w:iCs/>
        </w:rPr>
        <w:t xml:space="preserve"> </w:t>
      </w:r>
      <w:r w:rsidR="001229CE">
        <w:rPr>
          <w:kern w:val="2"/>
        </w:rPr>
        <w:t>Entergy Louisiana, LLC serves more than one million</w:t>
      </w:r>
      <w:r w:rsidR="005D348C">
        <w:rPr>
          <w:kern w:val="2"/>
        </w:rPr>
        <w:t xml:space="preserve"> Louisiana</w:t>
      </w:r>
      <w:r w:rsidR="001229CE">
        <w:rPr>
          <w:kern w:val="2"/>
        </w:rPr>
        <w:t xml:space="preserve"> customers, including more than 30,000 in Algiers</w:t>
      </w:r>
      <w:r w:rsidR="00E5525A">
        <w:rPr>
          <w:kern w:val="2"/>
        </w:rPr>
        <w:t xml:space="preserve"> </w:t>
      </w:r>
      <w:r w:rsidR="00E5525A" w:rsidRPr="00315AFB">
        <w:t xml:space="preserve">and other areas of the west bank of Orleans Parish. </w:t>
      </w:r>
      <w:r w:rsidR="001229CE">
        <w:rPr>
          <w:kern w:val="2"/>
        </w:rPr>
        <w:t xml:space="preserve">The companies are part of the Entergy electric system serving 2.8 million customers in Louisiana, Arkansas, Mississippi and Texas. Find the companies online at </w:t>
      </w:r>
      <w:hyperlink r:id="rId11" w:history="1">
        <w:r w:rsidR="001229CE">
          <w:rPr>
            <w:rStyle w:val="Hyperlink"/>
            <w:kern w:val="2"/>
          </w:rPr>
          <w:t>www.entergylouisiana.com</w:t>
        </w:r>
      </w:hyperlink>
      <w:r w:rsidR="001229CE">
        <w:t xml:space="preserve"> and </w:t>
      </w:r>
      <w:hyperlink r:id="rId12" w:history="1">
        <w:r w:rsidR="001229CE">
          <w:rPr>
            <w:rStyle w:val="Hyperlink"/>
          </w:rPr>
          <w:t>www.entergyneworleans.com</w:t>
        </w:r>
      </w:hyperlink>
      <w:r w:rsidR="001229CE">
        <w:t xml:space="preserve">. You can follow the companies on Twitter at </w:t>
      </w:r>
      <w:hyperlink r:id="rId13" w:history="1">
        <w:r w:rsidR="001229CE">
          <w:rPr>
            <w:rStyle w:val="Hyperlink"/>
            <w:kern w:val="2"/>
          </w:rPr>
          <w:t>@EntergyLA</w:t>
        </w:r>
      </w:hyperlink>
      <w:r w:rsidR="001229CE">
        <w:rPr>
          <w:kern w:val="2"/>
        </w:rPr>
        <w:t xml:space="preserve"> and </w:t>
      </w:r>
      <w:hyperlink r:id="rId14" w:history="1">
        <w:r w:rsidR="001229CE">
          <w:rPr>
            <w:rStyle w:val="Hyperlink"/>
            <w:kern w:val="2"/>
          </w:rPr>
          <w:t>@EntergyNOLA</w:t>
        </w:r>
      </w:hyperlink>
      <w:r w:rsidR="001229CE">
        <w:rPr>
          <w:kern w:val="2"/>
        </w:rPr>
        <w:t xml:space="preserve"> or on Facebook at </w:t>
      </w:r>
      <w:hyperlink r:id="rId15" w:history="1">
        <w:r w:rsidR="001229CE">
          <w:rPr>
            <w:rStyle w:val="Hyperlink"/>
            <w:kern w:val="2"/>
          </w:rPr>
          <w:t>www.facebook.com/EntergyLA</w:t>
        </w:r>
      </w:hyperlink>
      <w:r w:rsidR="001229CE">
        <w:rPr>
          <w:kern w:val="2"/>
        </w:rPr>
        <w:t xml:space="preserve"> or </w:t>
      </w:r>
      <w:hyperlink r:id="rId16" w:history="1">
        <w:r w:rsidR="001229CE">
          <w:rPr>
            <w:rStyle w:val="Hyperlink"/>
            <w:kern w:val="2"/>
          </w:rPr>
          <w:t>www.facebook.com/EntergyNOLA</w:t>
        </w:r>
      </w:hyperlink>
      <w:r w:rsidR="001229CE">
        <w:rPr>
          <w:kern w:val="2"/>
        </w:rPr>
        <w:t xml:space="preserve">. </w:t>
      </w:r>
    </w:p>
    <w:p w:rsidR="00FD2E8B" w:rsidRDefault="00FD2E8B" w:rsidP="00315AFB">
      <w:pPr>
        <w:widowControl w:val="0"/>
        <w:autoSpaceDE w:val="0"/>
        <w:autoSpaceDN w:val="0"/>
        <w:adjustRightInd w:val="0"/>
        <w:ind w:right="-720"/>
        <w:jc w:val="center"/>
        <w:rPr>
          <w:b/>
          <w:bCs/>
          <w:kern w:val="1"/>
        </w:rPr>
      </w:pPr>
    </w:p>
    <w:p w:rsidR="00BE7138" w:rsidRDefault="00BE7138" w:rsidP="005B0030">
      <w:pPr>
        <w:rPr>
          <w:b/>
        </w:rPr>
      </w:pPr>
    </w:p>
    <w:p w:rsidR="00BE7138" w:rsidRDefault="006F6BAB">
      <w:pPr>
        <w:ind w:firstLine="720"/>
        <w:jc w:val="center"/>
        <w:rPr>
          <w:b/>
        </w:rPr>
      </w:pPr>
      <w:r>
        <w:rPr>
          <w:b/>
        </w:rPr>
        <w:t>About Entergy Corporation</w:t>
      </w:r>
    </w:p>
    <w:p w:rsidR="00BE7138" w:rsidRDefault="006F6BAB">
      <w:pPr>
        <w:widowControl w:val="0"/>
        <w:autoSpaceDE w:val="0"/>
        <w:autoSpaceDN w:val="0"/>
        <w:adjustRightInd w:val="0"/>
        <w:spacing w:before="240"/>
        <w:ind w:right="-720"/>
        <w:rPr>
          <w:kern w:val="1"/>
        </w:rPr>
      </w:pPr>
      <w:r>
        <w:rPr>
          <w:kern w:val="1"/>
        </w:rPr>
        <w:t xml:space="preserve">Entergy Corporation is an integrated energy company engaged primarily in electric power production and retail distribution operations. Entergy owns and operates power plants with approximately 30,000 megawatts of electric generating capacity, including more than 10,000 megawatts of nuclear power, making it one of the nation’s leading nuclear generators. Entergy delivers electricity to 2.8 million utility </w:t>
      </w:r>
      <w:r>
        <w:rPr>
          <w:kern w:val="1"/>
        </w:rPr>
        <w:lastRenderedPageBreak/>
        <w:t>customers in Arkansas, Louisiana, Mississippi and Texas. Entergy has annual revenues of more than $11 billion and approximately 15,000 employees. For more information, please visit Entergy’s website at</w:t>
      </w:r>
      <w:r>
        <w:rPr>
          <w:kern w:val="1"/>
          <w:u w:val="single"/>
        </w:rPr>
        <w:t xml:space="preserve"> </w:t>
      </w:r>
      <w:hyperlink r:id="rId17" w:history="1">
        <w:r>
          <w:rPr>
            <w:rStyle w:val="Hyperlink"/>
            <w:kern w:val="1"/>
          </w:rPr>
          <w:t>www.entergy.com</w:t>
        </w:r>
      </w:hyperlink>
      <w:r>
        <w:rPr>
          <w:kern w:val="1"/>
          <w:u w:val="single"/>
        </w:rPr>
        <w:t>.</w:t>
      </w:r>
    </w:p>
    <w:p w:rsidR="00BE7138" w:rsidRDefault="00BE7138">
      <w:pPr>
        <w:widowControl w:val="0"/>
        <w:autoSpaceDE w:val="0"/>
        <w:autoSpaceDN w:val="0"/>
        <w:adjustRightInd w:val="0"/>
        <w:ind w:right="-720"/>
        <w:rPr>
          <w:kern w:val="1"/>
        </w:rPr>
      </w:pPr>
    </w:p>
    <w:p w:rsidR="00BE7138" w:rsidRDefault="006F6BAB">
      <w:pPr>
        <w:widowControl w:val="0"/>
        <w:autoSpaceDE w:val="0"/>
        <w:autoSpaceDN w:val="0"/>
        <w:adjustRightInd w:val="0"/>
        <w:ind w:right="-720"/>
        <w:jc w:val="center"/>
        <w:rPr>
          <w:b/>
          <w:bCs/>
          <w:kern w:val="1"/>
        </w:rPr>
      </w:pPr>
      <w:r>
        <w:rPr>
          <w:b/>
          <w:bCs/>
          <w:kern w:val="1"/>
        </w:rPr>
        <w:t>ITC Forward Looking Information</w:t>
      </w:r>
    </w:p>
    <w:p w:rsidR="00BE7138" w:rsidRDefault="006F6BAB">
      <w:pPr>
        <w:spacing w:before="240"/>
      </w:pPr>
      <w:r>
        <w:t>This document and the exhibits hereto contain certain statements that describe ITC management’s beliefs concerning future business conditions and prospects, growth opportunities and the outlook for ITC’s business, including ITC’s business and the electric transmission industry based upon information currently available. Such statements are “forward-looking” statements within the meaning of the Private Securities Litigation Reform Act of 1995. Wherever possible, ITC has identified these forward-looking statements by words such as “anticipates”, “believes”, “intends”, “estimates”, “expects”, “projects” and similar phrases. These forward-looking statements are based upon assumptions ITC management believes are reasonable. Such forward-looking statements are subject to risks and uncertainties which could cause ITC’s actual results, performance and achievements to differ materially from those expressed in, or implied by, these statements, including, among other things, (a) the risks and uncertainties disclosed in ITC’s annual report on Form 10-K and ITC’s quarterly reports on Form 10-Q filed with the Securities and Exchange Commission (the “SEC”) from time to time and (b) the following transactional factors (in addition to others described elsewhere in this document and in subsequent filings with the SEC): (</w:t>
      </w:r>
      <w:proofErr w:type="spellStart"/>
      <w:r>
        <w:t>i</w:t>
      </w:r>
      <w:proofErr w:type="spellEnd"/>
      <w:r>
        <w:t>) risks inherent in the contemplated transaction, including: (A) failure to obtain approval by the Company’s shareholders; (B) failure to obtain regulatory approvals necessary to consummate the transaction or to obtain regulatory approvals on favorable terms; (C) the ability to obtain the required financings; (D) delays in consummating the transaction or the failure to consummate the transactions; and (E) exceeding the expected costs of the transactions; (ii) legislative and regulatory actions, and (iii) conditions of the capital markets during the periods covered by the forward-looking statements.</w:t>
      </w:r>
    </w:p>
    <w:p w:rsidR="00BE7138" w:rsidRDefault="00BE7138">
      <w:pPr>
        <w:ind w:firstLine="720"/>
      </w:pPr>
    </w:p>
    <w:p w:rsidR="00BE7138" w:rsidRDefault="006F6BAB">
      <w:r>
        <w:t xml:space="preserve">Because ITC’s forward-looking statements are based on estimates and assumptions that are subject to significant business, economic and competitive uncertainties, many of which are beyond ITC’s control or are subject to change, actual results could be materially different and any or all of ITC’s forward-looking statements may turn out to be wrong. They speak only as of the date made and can be affected by assumptions ITC might make or by known or unknown risks and uncertainties. Many factors mentioned in this document and the exhibits hereto and in ITC’s annual and quarterly reports will be important in determining future results. Consequently, ITC cannot assure you that ITC’s expectations or forecasts expressed in such forward-looking statements will be achieved. Actual future results may vary materially.  </w:t>
      </w:r>
      <w:proofErr w:type="gramStart"/>
      <w:r>
        <w:t>Except as required by law, ITC undertakes no obligation to publicly update any of ITC’s forward-looking or other statements, whether as a result of new information, future events, or otherwise.</w:t>
      </w:r>
      <w:proofErr w:type="gramEnd"/>
    </w:p>
    <w:p w:rsidR="00BE7138" w:rsidRDefault="00BE7138">
      <w:pPr>
        <w:ind w:firstLine="720"/>
      </w:pPr>
    </w:p>
    <w:p w:rsidR="00872632" w:rsidRDefault="006F6BAB">
      <w:r>
        <w:t>The transaction is subject to certain conditions precedent, including regulatory approvals, approval of ITC’s shareholders and the availability of financing. ITC cannot provide any assurance that the proposed transactions related thereto will be completed, nor can it give assurances as to the terms on which such transactions will be consummated.</w:t>
      </w:r>
    </w:p>
    <w:p w:rsidR="00872632" w:rsidRDefault="00872632"/>
    <w:p w:rsidR="00BE7138" w:rsidRDefault="006F6BAB">
      <w:pPr>
        <w:widowControl w:val="0"/>
        <w:autoSpaceDE w:val="0"/>
        <w:autoSpaceDN w:val="0"/>
        <w:adjustRightInd w:val="0"/>
        <w:ind w:right="-720"/>
        <w:jc w:val="center"/>
        <w:rPr>
          <w:b/>
          <w:bCs/>
          <w:kern w:val="1"/>
        </w:rPr>
      </w:pPr>
      <w:r>
        <w:rPr>
          <w:b/>
          <w:bCs/>
          <w:kern w:val="1"/>
        </w:rPr>
        <w:t>Entergy Forward-Looking Information</w:t>
      </w:r>
    </w:p>
    <w:p w:rsidR="00BE7138" w:rsidRDefault="006F6BAB">
      <w:pPr>
        <w:spacing w:before="240"/>
      </w:pPr>
      <w:r>
        <w:t xml:space="preserve">In this communication, and from time to time, Entergy makes certain “forward-looking statements” within the meaning of the Private Securities Litigation Reform Act of 1995.  Except to the extent required by the federal securities laws, Entergy undertakes no obligation to publicly </w:t>
      </w:r>
      <w:r>
        <w:lastRenderedPageBreak/>
        <w:t>update or revise any forward-looking statements, whether as a result of new information, future events, or otherwise.  Forward-looking statements involve a number of risks and uncertainties. There are factors that could cause actual results to differ materially from those expressed or implied in the forward-looking statements, including (</w:t>
      </w:r>
      <w:proofErr w:type="spellStart"/>
      <w:r>
        <w:t>i</w:t>
      </w:r>
      <w:proofErr w:type="spellEnd"/>
      <w:r>
        <w:t>) those factors discussed in Entergy’s Annual Report on Form 10-K for the year ended December 31, 2011, its Quarterly Report</w:t>
      </w:r>
      <w:r w:rsidR="00D7251A">
        <w:t>s</w:t>
      </w:r>
      <w:r>
        <w:t xml:space="preserve"> on Form 10-Q for the quarters ended March 31, 2012 and June 30, 2012, and other filings made by Entergy with the Securities and Exchange Commission; (ii) the following transactional factors (in addition to others described elsewhere in this presentation and in subsequent securities filings) involving risks inherent in the contemplated transaction, including: (1) failure to obtain ITC shareholder approval, (2) failure of Entergy and its shareholders to recognize the expected benefits of the transaction, (3) failure to obtain regulatory approvals necessary to consummate the transaction or to obtain regulatory approvals on favorable terms, (4) the ability of Entergy, Transco and ITC to obtain the required financings, (5) delays in consummating the transaction or the failure to consummate the transaction, (6) exceeding the expected costs of the transaction, and (7) the failure to receive an IRS ruling approving the tax-free status of the transaction; (iii) legislative and regulatory actions; and (iv) conditions of the capital markets during the periods covered by the forward-looking statements. The transaction is subject to certain conditions precedent, including regulatory approvals, approval of ITC’s shareholders and the availability of financing. Entergy cannot provide any assurance that the transaction or any of the proposed transactions related thereto will be completed, nor can it give assurances as to the terms on which such transactions will be consummated.</w:t>
      </w:r>
    </w:p>
    <w:p w:rsidR="00BE7138" w:rsidRDefault="00BE7138"/>
    <w:p w:rsidR="00BE7138" w:rsidRDefault="006F6BAB">
      <w:pPr>
        <w:jc w:val="center"/>
        <w:rPr>
          <w:b/>
          <w:bCs/>
          <w:kern w:val="1"/>
        </w:rPr>
      </w:pPr>
      <w:r>
        <w:rPr>
          <w:b/>
          <w:bCs/>
          <w:kern w:val="1"/>
        </w:rPr>
        <w:t>Additional Information and Where to Find It</w:t>
      </w:r>
    </w:p>
    <w:p w:rsidR="00BE7138" w:rsidRDefault="006F6BAB">
      <w:pPr>
        <w:spacing w:before="240"/>
      </w:pPr>
      <w:r>
        <w:t xml:space="preserve">ITC and </w:t>
      </w:r>
      <w:r w:rsidR="00D7251A">
        <w:t xml:space="preserve">Mid South </w:t>
      </w:r>
      <w:proofErr w:type="spellStart"/>
      <w:r w:rsidR="00D7251A">
        <w:t>TransCo</w:t>
      </w:r>
      <w:proofErr w:type="spellEnd"/>
      <w:r w:rsidR="00D7251A">
        <w:t xml:space="preserve"> LLC (</w:t>
      </w:r>
      <w:r>
        <w:t>Transco</w:t>
      </w:r>
      <w:r w:rsidR="00D7251A">
        <w:t>)</w:t>
      </w:r>
      <w:r>
        <w:t xml:space="preserve"> will file registration statements with the SEC registering shares of ITC common stock and Transco common units to be issued to Entergy shareholders in connection with the proposed transactions. ITC will also file a proxy statement with the SEC that will be sent to the shareholders of ITC. Entergy shareholders are urged to read the prospectus and/or information statement that will be included in the registration statements and any other relevant documents, because they contain important information about ITC, Transco and the proposed transactions. ITC shareholders are urged to read the proxy statement and any other relevant documents because they contain important information about Transco and the proposed transactions. The proxy statement, prospectus and/or information statement, and other documents relating to the proposed transactions (when they are available) can be obtained free of charge from the SEC’s website at </w:t>
      </w:r>
      <w:hyperlink r:id="rId18" w:history="1">
        <w:r>
          <w:t>www.sec.gov</w:t>
        </w:r>
      </w:hyperlink>
      <w:r>
        <w:t>. The documents, when available, can also be obtained free of charge from Entergy upon written request to Entergy Corporation, Investor Relations, P.O. Box 61000 New Orleans, LA 70161 or by calling Entergy’s Investor Relations information line at 1-888- ENTERGY (368-3749), or from ITC upon written request to ITC Holdings Corp., Investor Relations, 27175 Energy Way, Novi, MI 48377 or by calling 248-946-3000.</w:t>
      </w:r>
    </w:p>
    <w:p w:rsidR="00BE7138" w:rsidRDefault="006F6BAB">
      <w:pPr>
        <w:spacing w:before="240"/>
      </w:pPr>
      <w:r>
        <w:t xml:space="preserve">This communication is not a solicitation of a proxy from any security holder of ITC. However, Entergy, ITC and certain of their respective directors and executive officers and certain other members of management and employees may be deemed to be participants in the solicitation of proxies from shareholders of ITC in connection with the proposed transaction under the rules of the SEC. Information about the directors and executive officers of Entergy, may be found in its 2011 Annual Report on Form 10-K filed with the SEC on February 28, 2012, and its definitive proxy statement relating to its 2012 Annual Meeting of Shareholders filed with the SEC on March 23, 2012.  Information about the directors and executive officers of ITC may be found in its 2011 Annual Report on Form 10-K filed with the SEC on February 22, 2012, and its </w:t>
      </w:r>
      <w:r>
        <w:lastRenderedPageBreak/>
        <w:t>definitive proxy statement relating to its 2012 Annual Meeting of Shareholders filed with the SEC on April 12, 2012.</w:t>
      </w:r>
    </w:p>
    <w:p w:rsidR="00BE7138" w:rsidRDefault="00BE7138">
      <w:pPr>
        <w:rPr>
          <w:kern w:val="1"/>
        </w:rPr>
      </w:pPr>
    </w:p>
    <w:tbl>
      <w:tblPr>
        <w:tblW w:w="9460" w:type="dxa"/>
        <w:tblLayout w:type="fixed"/>
        <w:tblLook w:val="0000"/>
      </w:tblPr>
      <w:tblGrid>
        <w:gridCol w:w="5344"/>
        <w:gridCol w:w="4116"/>
      </w:tblGrid>
      <w:tr w:rsidR="00BE7138">
        <w:tc>
          <w:tcPr>
            <w:tcW w:w="5344" w:type="dxa"/>
            <w:tcBorders>
              <w:top w:val="single" w:sz="8" w:space="0" w:color="BFBFBF"/>
              <w:left w:val="single" w:sz="8" w:space="0" w:color="BFBFBF"/>
              <w:bottom w:val="single" w:sz="8" w:space="0" w:color="BFBFBF"/>
              <w:right w:val="single" w:sz="8" w:space="0" w:color="BFBFBF"/>
            </w:tcBorders>
          </w:tcPr>
          <w:p w:rsidR="00BE7138" w:rsidRDefault="006F6BAB">
            <w:pPr>
              <w:widowControl w:val="0"/>
              <w:tabs>
                <w:tab w:val="right" w:pos="3002"/>
              </w:tabs>
              <w:autoSpaceDE w:val="0"/>
              <w:autoSpaceDN w:val="0"/>
              <w:adjustRightInd w:val="0"/>
              <w:ind w:right="-720"/>
              <w:rPr>
                <w:kern w:val="1"/>
                <w:sz w:val="6"/>
                <w:szCs w:val="6"/>
                <w:u w:val="single"/>
              </w:rPr>
            </w:pPr>
            <w:r>
              <w:rPr>
                <w:b/>
                <w:bCs/>
                <w:spacing w:val="-12"/>
                <w:kern w:val="1"/>
              </w:rPr>
              <w:t>Contact:</w:t>
            </w:r>
            <w:r>
              <w:rPr>
                <w:b/>
                <w:bCs/>
                <w:spacing w:val="-12"/>
                <w:kern w:val="1"/>
              </w:rPr>
              <w:tab/>
            </w:r>
            <w:r>
              <w:rPr>
                <w:b/>
                <w:bCs/>
                <w:kern w:val="1"/>
                <w:u w:val="single"/>
              </w:rPr>
              <w:t>For Entergy</w:t>
            </w:r>
          </w:p>
          <w:p w:rsidR="00BE7138" w:rsidRDefault="00BE7138">
            <w:pPr>
              <w:widowControl w:val="0"/>
              <w:autoSpaceDE w:val="0"/>
              <w:autoSpaceDN w:val="0"/>
              <w:adjustRightInd w:val="0"/>
              <w:ind w:left="1728" w:right="756"/>
              <w:rPr>
                <w:spacing w:val="-9"/>
                <w:kern w:val="1"/>
                <w:sz w:val="6"/>
                <w:szCs w:val="6"/>
                <w:u w:val="single"/>
              </w:rPr>
            </w:pPr>
          </w:p>
          <w:p w:rsidR="00BE7138" w:rsidRDefault="00BE7138">
            <w:pPr>
              <w:ind w:left="1440" w:hanging="1440"/>
            </w:pPr>
          </w:p>
          <w:p w:rsidR="00BE7138" w:rsidRDefault="006F6BAB">
            <w:pPr>
              <w:ind w:left="1440" w:hanging="1440"/>
            </w:pPr>
            <w:r>
              <w:t>Contact:</w:t>
            </w:r>
            <w:r>
              <w:rPr>
                <w:sz w:val="22"/>
                <w:szCs w:val="22"/>
              </w:rPr>
              <w:tab/>
            </w:r>
            <w:r w:rsidR="00D070E9">
              <w:t>Philip Allison</w:t>
            </w:r>
            <w:r>
              <w:t xml:space="preserve"> (News Media)</w:t>
            </w:r>
            <w:r>
              <w:br/>
              <w:t>(</w:t>
            </w:r>
            <w:r w:rsidRPr="00315AFB">
              <w:t xml:space="preserve">504) </w:t>
            </w:r>
            <w:r w:rsidR="00D070E9" w:rsidRPr="00315AFB">
              <w:t xml:space="preserve">576-4132 </w:t>
            </w:r>
            <w:r w:rsidRPr="00315AFB">
              <w:t>office</w:t>
            </w:r>
            <w:r>
              <w:br/>
            </w:r>
            <w:hyperlink r:id="rId19" w:history="1">
              <w:r w:rsidR="003656F7" w:rsidRPr="00107B61">
                <w:rPr>
                  <w:rStyle w:val="Hyperlink"/>
                </w:rPr>
                <w:t>pallison@entergy.com</w:t>
              </w:r>
            </w:hyperlink>
            <w:r>
              <w:br/>
            </w:r>
            <w:r>
              <w:br/>
              <w:t xml:space="preserve">Paula Waters (Investor Relations) </w:t>
            </w:r>
            <w:r>
              <w:br/>
              <w:t>(504) 576- 4380</w:t>
            </w:r>
            <w:r>
              <w:br/>
            </w:r>
            <w:hyperlink r:id="rId20" w:history="1">
              <w:r>
                <w:rPr>
                  <w:rStyle w:val="Hyperlink"/>
                </w:rPr>
                <w:t>pwater1@entergy.com</w:t>
              </w:r>
            </w:hyperlink>
          </w:p>
          <w:p w:rsidR="00BE7138" w:rsidRDefault="00BE7138"/>
        </w:tc>
        <w:tc>
          <w:tcPr>
            <w:tcW w:w="4116" w:type="dxa"/>
            <w:tcBorders>
              <w:top w:val="single" w:sz="8" w:space="0" w:color="BFBFBF"/>
              <w:left w:val="single" w:sz="8" w:space="0" w:color="BFBFBF"/>
              <w:bottom w:val="single" w:sz="8" w:space="0" w:color="BFBFBF"/>
              <w:right w:val="single" w:sz="8" w:space="0" w:color="BFBFBF"/>
            </w:tcBorders>
          </w:tcPr>
          <w:p w:rsidR="00BE7138" w:rsidRDefault="006F6BAB">
            <w:pPr>
              <w:widowControl w:val="0"/>
              <w:autoSpaceDE w:val="0"/>
              <w:autoSpaceDN w:val="0"/>
              <w:adjustRightInd w:val="0"/>
              <w:spacing w:line="204" w:lineRule="auto"/>
              <w:ind w:left="360" w:right="-720"/>
              <w:rPr>
                <w:b/>
                <w:bCs/>
                <w:kern w:val="1"/>
                <w:u w:val="single"/>
              </w:rPr>
            </w:pPr>
            <w:r>
              <w:rPr>
                <w:b/>
                <w:bCs/>
                <w:kern w:val="1"/>
                <w:u w:val="single"/>
              </w:rPr>
              <w:t xml:space="preserve">For ITC </w:t>
            </w:r>
          </w:p>
          <w:p w:rsidR="00BE7138" w:rsidRDefault="006F6BAB">
            <w:pPr>
              <w:widowControl w:val="0"/>
              <w:autoSpaceDE w:val="0"/>
              <w:autoSpaceDN w:val="0"/>
              <w:adjustRightInd w:val="0"/>
              <w:spacing w:before="324"/>
              <w:ind w:left="360" w:right="-720"/>
              <w:rPr>
                <w:spacing w:val="-4"/>
                <w:kern w:val="1"/>
              </w:rPr>
            </w:pPr>
            <w:r>
              <w:rPr>
                <w:spacing w:val="-4"/>
                <w:kern w:val="1"/>
              </w:rPr>
              <w:t xml:space="preserve">Joe </w:t>
            </w:r>
            <w:proofErr w:type="spellStart"/>
            <w:r>
              <w:rPr>
                <w:spacing w:val="-4"/>
                <w:kern w:val="1"/>
              </w:rPr>
              <w:t>Ferlito</w:t>
            </w:r>
            <w:proofErr w:type="spellEnd"/>
            <w:r>
              <w:rPr>
                <w:spacing w:val="-4"/>
                <w:kern w:val="1"/>
              </w:rPr>
              <w:t xml:space="preserve"> (News Media)</w:t>
            </w:r>
          </w:p>
          <w:p w:rsidR="00BE7138" w:rsidRPr="00315AFB" w:rsidRDefault="006F6BAB">
            <w:pPr>
              <w:widowControl w:val="0"/>
              <w:autoSpaceDE w:val="0"/>
              <w:autoSpaceDN w:val="0"/>
              <w:adjustRightInd w:val="0"/>
              <w:ind w:left="360" w:right="576"/>
              <w:rPr>
                <w:kern w:val="1"/>
              </w:rPr>
            </w:pPr>
            <w:r w:rsidRPr="00315AFB">
              <w:rPr>
                <w:kern w:val="1"/>
              </w:rPr>
              <w:t>(</w:t>
            </w:r>
            <w:r w:rsidRPr="00315AFB">
              <w:t>313) 567-5031</w:t>
            </w:r>
          </w:p>
          <w:p w:rsidR="00BE7138" w:rsidRDefault="00D46AA3">
            <w:pPr>
              <w:widowControl w:val="0"/>
              <w:autoSpaceDE w:val="0"/>
              <w:autoSpaceDN w:val="0"/>
              <w:adjustRightInd w:val="0"/>
              <w:ind w:left="360" w:right="576"/>
              <w:rPr>
                <w:kern w:val="1"/>
              </w:rPr>
            </w:pPr>
            <w:hyperlink r:id="rId21" w:history="1">
              <w:r w:rsidR="006F6BAB">
                <w:rPr>
                  <w:rStyle w:val="Hyperlink"/>
                </w:rPr>
                <w:t>mailto:</w:t>
              </w:r>
            </w:hyperlink>
            <w:r w:rsidR="006F6BAB">
              <w:rPr>
                <w:color w:val="0000FF"/>
                <w:kern w:val="1"/>
                <w:u w:val="single" w:color="0000FF"/>
              </w:rPr>
              <w:t>ferlito@franco.com</w:t>
            </w:r>
          </w:p>
          <w:p w:rsidR="00BE7138" w:rsidRDefault="006F6BAB">
            <w:pPr>
              <w:widowControl w:val="0"/>
              <w:autoSpaceDE w:val="0"/>
              <w:autoSpaceDN w:val="0"/>
              <w:adjustRightInd w:val="0"/>
              <w:spacing w:before="216"/>
              <w:ind w:left="360" w:right="216"/>
              <w:rPr>
                <w:kern w:val="1"/>
              </w:rPr>
            </w:pPr>
            <w:r>
              <w:rPr>
                <w:spacing w:val="-9"/>
                <w:kern w:val="1"/>
              </w:rPr>
              <w:t xml:space="preserve">Gretchen Holloway (Investor </w:t>
            </w:r>
            <w:r>
              <w:rPr>
                <w:kern w:val="1"/>
              </w:rPr>
              <w:t>Relations)</w:t>
            </w:r>
          </w:p>
          <w:p w:rsidR="00BE7138" w:rsidRDefault="006F6BAB">
            <w:pPr>
              <w:widowControl w:val="0"/>
              <w:autoSpaceDE w:val="0"/>
              <w:autoSpaceDN w:val="0"/>
              <w:adjustRightInd w:val="0"/>
              <w:ind w:left="360" w:right="612"/>
              <w:rPr>
                <w:color w:val="0000FF"/>
                <w:spacing w:val="-8"/>
                <w:kern w:val="1"/>
                <w:sz w:val="6"/>
                <w:szCs w:val="6"/>
              </w:rPr>
            </w:pPr>
            <w:r>
              <w:rPr>
                <w:kern w:val="1"/>
              </w:rPr>
              <w:t xml:space="preserve">(248) 946-3595 </w:t>
            </w:r>
            <w:hyperlink r:id="rId22" w:history="1">
              <w:r>
                <w:rPr>
                  <w:color w:val="0000FF"/>
                  <w:spacing w:val="-8"/>
                  <w:kern w:val="1"/>
                  <w:sz w:val="22"/>
                  <w:szCs w:val="22"/>
                  <w:u w:val="single" w:color="0000FF"/>
                </w:rPr>
                <w:t>gholloway@itctransco.com</w:t>
              </w:r>
            </w:hyperlink>
          </w:p>
        </w:tc>
      </w:tr>
    </w:tbl>
    <w:p w:rsidR="00BE7138" w:rsidRDefault="00BE7138"/>
    <w:p w:rsidR="005B0030" w:rsidRDefault="005B0030"/>
    <w:p w:rsidR="005B0030" w:rsidRDefault="005B0030"/>
    <w:sectPr w:rsidR="005B0030" w:rsidSect="000A51EB">
      <w:headerReference w:type="even" r:id="rId23"/>
      <w:footerReference w:type="default" r:id="rId24"/>
      <w:headerReference w:type="first" r:id="rId25"/>
      <w:footerReference w:type="first" r:id="rId26"/>
      <w:pgSz w:w="12240" w:h="15840"/>
      <w:pgMar w:top="1008" w:right="1440" w:bottom="1008" w:left="1440" w:header="432" w:footer="2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712" w:rsidRDefault="00F00712">
      <w:r>
        <w:separator/>
      </w:r>
    </w:p>
  </w:endnote>
  <w:endnote w:type="continuationSeparator" w:id="0">
    <w:p w:rsidR="00F00712" w:rsidRDefault="00F00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FB" w:rsidRDefault="00D46AA3">
    <w:pPr>
      <w:pStyle w:val="Footer"/>
      <w:jc w:val="center"/>
    </w:pPr>
    <w:r>
      <w:fldChar w:fldCharType="begin"/>
    </w:r>
    <w:r w:rsidR="00315AFB">
      <w:instrText xml:space="preserve"> PAGE   \* MERGEFORMAT </w:instrText>
    </w:r>
    <w:r>
      <w:fldChar w:fldCharType="separate"/>
    </w:r>
    <w:r w:rsidR="00756B96">
      <w:rPr>
        <w:noProof/>
      </w:rPr>
      <w:t>6</w:t>
    </w:r>
    <w:r>
      <w:rPr>
        <w:noProof/>
      </w:rPr>
      <w:fldChar w:fldCharType="end"/>
    </w:r>
  </w:p>
  <w:p w:rsidR="00315AFB" w:rsidRDefault="00315A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FB" w:rsidRDefault="00D46AA3">
    <w:pPr>
      <w:pStyle w:val="Footer"/>
      <w:jc w:val="center"/>
    </w:pPr>
    <w:r>
      <w:fldChar w:fldCharType="begin"/>
    </w:r>
    <w:r w:rsidR="00315AFB">
      <w:instrText xml:space="preserve"> PAGE   \* MERGEFORMAT </w:instrText>
    </w:r>
    <w:r>
      <w:fldChar w:fldCharType="separate"/>
    </w:r>
    <w:r w:rsidR="00756B96">
      <w:rPr>
        <w:noProof/>
      </w:rPr>
      <w:t>1</w:t>
    </w:r>
    <w:r>
      <w:rPr>
        <w:noProof/>
      </w:rPr>
      <w:fldChar w:fldCharType="end"/>
    </w:r>
  </w:p>
  <w:p w:rsidR="00315AFB" w:rsidRDefault="00315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712" w:rsidRDefault="00F00712">
      <w:r>
        <w:separator/>
      </w:r>
    </w:p>
  </w:footnote>
  <w:footnote w:type="continuationSeparator" w:id="0">
    <w:p w:rsidR="00F00712" w:rsidRDefault="00F00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FB" w:rsidRDefault="00315AFB">
    <w:pPr>
      <w:pStyle w:val="Header"/>
      <w:rPr>
        <w:b/>
        <w:bCs/>
      </w:rPr>
    </w:pPr>
    <w:r>
      <w:rPr>
        <w:b/>
        <w:bCs/>
      </w:rPr>
      <w:t xml:space="preserve">Electric Utilities Initiate Multi-State Regulatory Approval Process </w:t>
    </w:r>
  </w:p>
  <w:p w:rsidR="00315AFB" w:rsidRDefault="00315AFB">
    <w:pPr>
      <w:pStyle w:val="Header"/>
    </w:pPr>
    <w:r>
      <w:t>July 31, 2012</w:t>
    </w:r>
  </w:p>
  <w:p w:rsidR="00315AFB" w:rsidRDefault="00315A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AFB" w:rsidRDefault="00315AFB">
    <w:pPr>
      <w:pStyle w:val="Header"/>
    </w:pPr>
    <w:r>
      <w:rPr>
        <w:noProof/>
      </w:rPr>
      <w:drawing>
        <wp:anchor distT="0" distB="0" distL="114300" distR="114300" simplePos="0" relativeHeight="251660288" behindDoc="0" locked="0" layoutInCell="1" allowOverlap="1">
          <wp:simplePos x="0" y="0"/>
          <wp:positionH relativeFrom="column">
            <wp:posOffset>-227965</wp:posOffset>
          </wp:positionH>
          <wp:positionV relativeFrom="paragraph">
            <wp:posOffset>0</wp:posOffset>
          </wp:positionV>
          <wp:extent cx="2301240" cy="626745"/>
          <wp:effectExtent l="19050" t="0" r="3810" b="0"/>
          <wp:wrapSquare wrapText="bothSides"/>
          <wp:docPr id="1" name="Picture 2" descr="Entergy_ITC_Logo_nolin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rgy_ITC_Logo_noline_4c-1"/>
                  <pic:cNvPicPr>
                    <a:picLocks noChangeAspect="1" noChangeArrowheads="1"/>
                  </pic:cNvPicPr>
                </pic:nvPicPr>
                <pic:blipFill>
                  <a:blip r:embed="rId1"/>
                  <a:srcRect/>
                  <a:stretch>
                    <a:fillRect/>
                  </a:stretch>
                </pic:blipFill>
                <pic:spPr bwMode="auto">
                  <a:xfrm>
                    <a:off x="0" y="0"/>
                    <a:ext cx="2301240" cy="626745"/>
                  </a:xfrm>
                  <a:prstGeom prst="rect">
                    <a:avLst/>
                  </a:prstGeom>
                  <a:noFill/>
                </pic:spPr>
              </pic:pic>
            </a:graphicData>
          </a:graphic>
        </wp:anchor>
      </w:drawing>
    </w:r>
  </w:p>
  <w:p w:rsidR="00315AFB" w:rsidRDefault="00315A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C70F6F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7E2D47E"/>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F1024E5"/>
    <w:multiLevelType w:val="hybridMultilevel"/>
    <w:tmpl w:val="037892AA"/>
    <w:lvl w:ilvl="0" w:tplc="C99843A8">
      <w:start w:val="5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74F6C"/>
    <w:multiLevelType w:val="hybridMultilevel"/>
    <w:tmpl w:val="642E92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6"/>
  </w:num>
  <w:num w:numId="16">
    <w:abstractNumId w:val="2"/>
  </w:num>
  <w:num w:numId="17">
    <w:abstractNumId w:val="3"/>
  </w:num>
  <w:num w:numId="18">
    <w:abstractNumId w:val="4"/>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rsids>
    <w:rsidRoot w:val="00BE7138"/>
    <w:rsid w:val="00025A43"/>
    <w:rsid w:val="00057344"/>
    <w:rsid w:val="00061EC1"/>
    <w:rsid w:val="000A51EB"/>
    <w:rsid w:val="000B3AEA"/>
    <w:rsid w:val="001106B9"/>
    <w:rsid w:val="001112B6"/>
    <w:rsid w:val="00121A10"/>
    <w:rsid w:val="001229CE"/>
    <w:rsid w:val="00136CB3"/>
    <w:rsid w:val="00177A34"/>
    <w:rsid w:val="001E25DA"/>
    <w:rsid w:val="001E4556"/>
    <w:rsid w:val="00207778"/>
    <w:rsid w:val="00237C32"/>
    <w:rsid w:val="00277405"/>
    <w:rsid w:val="002938C0"/>
    <w:rsid w:val="0031583D"/>
    <w:rsid w:val="00315AFB"/>
    <w:rsid w:val="00320945"/>
    <w:rsid w:val="003656F7"/>
    <w:rsid w:val="003863BB"/>
    <w:rsid w:val="0038668A"/>
    <w:rsid w:val="00395048"/>
    <w:rsid w:val="003A1E10"/>
    <w:rsid w:val="003C390E"/>
    <w:rsid w:val="003C6C07"/>
    <w:rsid w:val="003D09ED"/>
    <w:rsid w:val="003D4717"/>
    <w:rsid w:val="003E3663"/>
    <w:rsid w:val="003F39FB"/>
    <w:rsid w:val="00417FBD"/>
    <w:rsid w:val="004244B8"/>
    <w:rsid w:val="00434013"/>
    <w:rsid w:val="004932CC"/>
    <w:rsid w:val="0049676B"/>
    <w:rsid w:val="004967F8"/>
    <w:rsid w:val="004A1439"/>
    <w:rsid w:val="004A6C92"/>
    <w:rsid w:val="004A6FDD"/>
    <w:rsid w:val="004C66EA"/>
    <w:rsid w:val="005072B6"/>
    <w:rsid w:val="00534A11"/>
    <w:rsid w:val="005B0030"/>
    <w:rsid w:val="005B13E9"/>
    <w:rsid w:val="005D348C"/>
    <w:rsid w:val="005F26EF"/>
    <w:rsid w:val="006322E7"/>
    <w:rsid w:val="00635246"/>
    <w:rsid w:val="006415E7"/>
    <w:rsid w:val="00692C39"/>
    <w:rsid w:val="006A72B8"/>
    <w:rsid w:val="006C23CB"/>
    <w:rsid w:val="006D2D58"/>
    <w:rsid w:val="006F1F71"/>
    <w:rsid w:val="006F6BAB"/>
    <w:rsid w:val="00706B70"/>
    <w:rsid w:val="00710EDF"/>
    <w:rsid w:val="00756B96"/>
    <w:rsid w:val="007655C3"/>
    <w:rsid w:val="00780572"/>
    <w:rsid w:val="00820DDD"/>
    <w:rsid w:val="00832223"/>
    <w:rsid w:val="00834A97"/>
    <w:rsid w:val="00844830"/>
    <w:rsid w:val="00855A38"/>
    <w:rsid w:val="00872632"/>
    <w:rsid w:val="008872FF"/>
    <w:rsid w:val="00892D13"/>
    <w:rsid w:val="00896692"/>
    <w:rsid w:val="008A6C2A"/>
    <w:rsid w:val="008B22DC"/>
    <w:rsid w:val="008C7A9C"/>
    <w:rsid w:val="00904B47"/>
    <w:rsid w:val="00931907"/>
    <w:rsid w:val="009B10B1"/>
    <w:rsid w:val="009B71ED"/>
    <w:rsid w:val="009E78A8"/>
    <w:rsid w:val="009F5E04"/>
    <w:rsid w:val="00A55D4A"/>
    <w:rsid w:val="00A67DCA"/>
    <w:rsid w:val="00AB307B"/>
    <w:rsid w:val="00AD0513"/>
    <w:rsid w:val="00AF5444"/>
    <w:rsid w:val="00B034D8"/>
    <w:rsid w:val="00B351F9"/>
    <w:rsid w:val="00B51588"/>
    <w:rsid w:val="00B628E7"/>
    <w:rsid w:val="00B97BFF"/>
    <w:rsid w:val="00BC498A"/>
    <w:rsid w:val="00BE0A7A"/>
    <w:rsid w:val="00BE6D5F"/>
    <w:rsid w:val="00BE7138"/>
    <w:rsid w:val="00BF2299"/>
    <w:rsid w:val="00BF4885"/>
    <w:rsid w:val="00C01C65"/>
    <w:rsid w:val="00C049F3"/>
    <w:rsid w:val="00C26D0D"/>
    <w:rsid w:val="00C670AF"/>
    <w:rsid w:val="00C672B4"/>
    <w:rsid w:val="00CB7898"/>
    <w:rsid w:val="00CF2355"/>
    <w:rsid w:val="00D02439"/>
    <w:rsid w:val="00D04C35"/>
    <w:rsid w:val="00D070E9"/>
    <w:rsid w:val="00D30556"/>
    <w:rsid w:val="00D46AA3"/>
    <w:rsid w:val="00D70FCB"/>
    <w:rsid w:val="00D7251A"/>
    <w:rsid w:val="00D812C7"/>
    <w:rsid w:val="00D93A1F"/>
    <w:rsid w:val="00DC4584"/>
    <w:rsid w:val="00DC5F05"/>
    <w:rsid w:val="00E5525A"/>
    <w:rsid w:val="00EA2788"/>
    <w:rsid w:val="00EA4439"/>
    <w:rsid w:val="00EB0016"/>
    <w:rsid w:val="00EB4CA1"/>
    <w:rsid w:val="00EC2A25"/>
    <w:rsid w:val="00F00712"/>
    <w:rsid w:val="00F10955"/>
    <w:rsid w:val="00F22207"/>
    <w:rsid w:val="00F25E39"/>
    <w:rsid w:val="00F42DB9"/>
    <w:rsid w:val="00F83C53"/>
    <w:rsid w:val="00F93570"/>
    <w:rsid w:val="00FA7402"/>
    <w:rsid w:val="00FD2E8B"/>
    <w:rsid w:val="00FD3AA8"/>
    <w:rsid w:val="00FD774A"/>
    <w:rsid w:val="00FF22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59D"/>
    <w:rPr>
      <w:sz w:val="24"/>
      <w:szCs w:val="24"/>
    </w:rPr>
  </w:style>
  <w:style w:type="paragraph" w:styleId="Heading1">
    <w:name w:val="heading 1"/>
    <w:basedOn w:val="Normal"/>
    <w:next w:val="Normal"/>
    <w:link w:val="Heading1Char"/>
    <w:uiPriority w:val="99"/>
    <w:qFormat/>
    <w:rsid w:val="00FC059D"/>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FC059D"/>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5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C059D"/>
    <w:rPr>
      <w:rFonts w:ascii="Cambria" w:hAnsi="Cambria" w:cs="Times New Roman"/>
      <w:b/>
      <w:bCs/>
      <w:i/>
      <w:iCs/>
      <w:sz w:val="28"/>
      <w:szCs w:val="28"/>
    </w:rPr>
  </w:style>
  <w:style w:type="paragraph" w:styleId="ListBullet">
    <w:name w:val="List Bullet"/>
    <w:basedOn w:val="Normal"/>
    <w:uiPriority w:val="99"/>
    <w:rsid w:val="00FC059D"/>
    <w:pPr>
      <w:ind w:left="360" w:hanging="360"/>
    </w:pPr>
  </w:style>
  <w:style w:type="paragraph" w:styleId="ListBullet2">
    <w:name w:val="List Bullet 2"/>
    <w:basedOn w:val="Normal"/>
    <w:uiPriority w:val="99"/>
    <w:rsid w:val="00FC059D"/>
    <w:pPr>
      <w:ind w:left="720" w:hanging="360"/>
    </w:pPr>
    <w:rPr>
      <w:color w:val="0000FF"/>
    </w:rPr>
  </w:style>
  <w:style w:type="paragraph" w:customStyle="1" w:styleId="HeadingLine">
    <w:name w:val="Heading/Line"/>
    <w:basedOn w:val="Normal"/>
    <w:uiPriority w:val="99"/>
    <w:rsid w:val="00FC059D"/>
    <w:pPr>
      <w:keepNext/>
      <w:keepLines/>
      <w:pBdr>
        <w:bottom w:val="single" w:sz="6" w:space="3" w:color="auto"/>
      </w:pBdr>
      <w:spacing w:before="360" w:after="120" w:line="360" w:lineRule="exact"/>
    </w:pPr>
    <w:rPr>
      <w:b/>
      <w:bCs/>
      <w:caps/>
      <w:kern w:val="28"/>
      <w:sz w:val="28"/>
      <w:szCs w:val="28"/>
    </w:rPr>
  </w:style>
  <w:style w:type="paragraph" w:customStyle="1" w:styleId="subheader">
    <w:name w:val="subheader"/>
    <w:basedOn w:val="Normal"/>
    <w:uiPriority w:val="99"/>
    <w:rsid w:val="00FC059D"/>
    <w:rPr>
      <w:b/>
      <w:bCs/>
      <w:u w:val="single"/>
    </w:rPr>
  </w:style>
  <w:style w:type="paragraph" w:customStyle="1" w:styleId="BoldHeading">
    <w:name w:val="Bold Heading"/>
    <w:basedOn w:val="Normal"/>
    <w:uiPriority w:val="99"/>
    <w:rsid w:val="00FC059D"/>
    <w:pPr>
      <w:keepNext/>
      <w:spacing w:before="240" w:after="60"/>
    </w:pPr>
    <w:rPr>
      <w:b/>
      <w:bCs/>
    </w:rPr>
  </w:style>
  <w:style w:type="paragraph" w:styleId="Index1">
    <w:name w:val="index 1"/>
    <w:basedOn w:val="Normal"/>
    <w:next w:val="Normal"/>
    <w:uiPriority w:val="99"/>
    <w:semiHidden/>
    <w:rsid w:val="00FC059D"/>
    <w:pPr>
      <w:tabs>
        <w:tab w:val="right" w:leader="dot" w:pos="14400"/>
      </w:tabs>
      <w:ind w:left="240" w:hanging="240"/>
    </w:pPr>
  </w:style>
  <w:style w:type="paragraph" w:customStyle="1" w:styleId="M-HEAD">
    <w:name w:val="M-HEAD"/>
    <w:basedOn w:val="Normal"/>
    <w:uiPriority w:val="99"/>
    <w:rsid w:val="00FC059D"/>
    <w:rPr>
      <w:rFonts w:ascii="Bookman Old Style" w:hAnsi="Bookman Old Style" w:cs="Bookman Old Style"/>
      <w:sz w:val="28"/>
      <w:szCs w:val="28"/>
      <w:u w:val="single"/>
    </w:rPr>
  </w:style>
  <w:style w:type="paragraph" w:customStyle="1" w:styleId="Style1">
    <w:name w:val="Style1"/>
    <w:basedOn w:val="ListBullet2"/>
    <w:uiPriority w:val="99"/>
    <w:rsid w:val="00FC059D"/>
  </w:style>
  <w:style w:type="paragraph" w:styleId="List3">
    <w:name w:val="List 3"/>
    <w:basedOn w:val="Normal"/>
    <w:uiPriority w:val="99"/>
    <w:rsid w:val="00FC059D"/>
    <w:pPr>
      <w:ind w:left="1080" w:hanging="360"/>
    </w:pPr>
  </w:style>
  <w:style w:type="paragraph" w:styleId="BodyText">
    <w:name w:val="Body Text"/>
    <w:basedOn w:val="Normal"/>
    <w:link w:val="BodyTextChar"/>
    <w:uiPriority w:val="99"/>
    <w:rsid w:val="00FC059D"/>
    <w:pPr>
      <w:spacing w:line="480" w:lineRule="auto"/>
      <w:jc w:val="both"/>
    </w:pPr>
  </w:style>
  <w:style w:type="character" w:customStyle="1" w:styleId="BodyTextChar">
    <w:name w:val="Body Text Char"/>
    <w:basedOn w:val="DefaultParagraphFont"/>
    <w:link w:val="BodyText"/>
    <w:uiPriority w:val="99"/>
    <w:semiHidden/>
    <w:locked/>
    <w:rsid w:val="00FC059D"/>
    <w:rPr>
      <w:rFonts w:cs="Times New Roman"/>
      <w:sz w:val="24"/>
      <w:szCs w:val="24"/>
    </w:rPr>
  </w:style>
  <w:style w:type="paragraph" w:styleId="BodyText2">
    <w:name w:val="Body Text 2"/>
    <w:basedOn w:val="Normal"/>
    <w:link w:val="BodyText2Char"/>
    <w:uiPriority w:val="99"/>
    <w:rsid w:val="00FC059D"/>
    <w:pPr>
      <w:spacing w:line="480" w:lineRule="auto"/>
      <w:ind w:firstLine="720"/>
    </w:pPr>
  </w:style>
  <w:style w:type="character" w:customStyle="1" w:styleId="BodyText2Char">
    <w:name w:val="Body Text 2 Char"/>
    <w:basedOn w:val="DefaultParagraphFont"/>
    <w:link w:val="BodyText2"/>
    <w:uiPriority w:val="99"/>
    <w:semiHidden/>
    <w:locked/>
    <w:rsid w:val="00FC059D"/>
    <w:rPr>
      <w:rFonts w:cs="Times New Roman"/>
      <w:sz w:val="24"/>
      <w:szCs w:val="24"/>
    </w:rPr>
  </w:style>
  <w:style w:type="paragraph" w:styleId="BalloonText">
    <w:name w:val="Balloon Text"/>
    <w:basedOn w:val="Normal"/>
    <w:link w:val="BalloonTextChar"/>
    <w:uiPriority w:val="99"/>
    <w:semiHidden/>
    <w:rsid w:val="00FC05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59D"/>
    <w:rPr>
      <w:rFonts w:cs="Times New Roman"/>
      <w:sz w:val="2"/>
    </w:rPr>
  </w:style>
  <w:style w:type="paragraph" w:customStyle="1" w:styleId="NRBody">
    <w:name w:val="NRBody"/>
    <w:basedOn w:val="Normal"/>
    <w:link w:val="NRBodyChar"/>
    <w:uiPriority w:val="99"/>
    <w:rsid w:val="00FC059D"/>
    <w:pPr>
      <w:tabs>
        <w:tab w:val="left" w:pos="1260"/>
      </w:tabs>
      <w:spacing w:line="480" w:lineRule="auto"/>
      <w:ind w:left="900" w:right="-270"/>
    </w:pPr>
    <w:rPr>
      <w:szCs w:val="20"/>
    </w:rPr>
  </w:style>
  <w:style w:type="character" w:styleId="Hyperlink">
    <w:name w:val="Hyperlink"/>
    <w:basedOn w:val="DefaultParagraphFont"/>
    <w:uiPriority w:val="99"/>
    <w:rsid w:val="00FC059D"/>
    <w:rPr>
      <w:rFonts w:cs="Times New Roman"/>
      <w:color w:val="0000FF"/>
      <w:u w:val="single"/>
    </w:rPr>
  </w:style>
  <w:style w:type="paragraph" w:styleId="Header">
    <w:name w:val="header"/>
    <w:basedOn w:val="Normal"/>
    <w:link w:val="HeaderChar"/>
    <w:uiPriority w:val="99"/>
    <w:rsid w:val="00FC059D"/>
    <w:pPr>
      <w:tabs>
        <w:tab w:val="center" w:pos="4680"/>
        <w:tab w:val="right" w:pos="9360"/>
      </w:tabs>
    </w:pPr>
  </w:style>
  <w:style w:type="character" w:customStyle="1" w:styleId="HeaderChar">
    <w:name w:val="Header Char"/>
    <w:basedOn w:val="DefaultParagraphFont"/>
    <w:link w:val="Header"/>
    <w:uiPriority w:val="99"/>
    <w:locked/>
    <w:rsid w:val="00FC059D"/>
    <w:rPr>
      <w:rFonts w:cs="Times New Roman"/>
      <w:sz w:val="24"/>
      <w:szCs w:val="24"/>
    </w:rPr>
  </w:style>
  <w:style w:type="paragraph" w:styleId="Footer">
    <w:name w:val="footer"/>
    <w:basedOn w:val="Normal"/>
    <w:link w:val="FooterChar"/>
    <w:uiPriority w:val="99"/>
    <w:rsid w:val="00FC059D"/>
    <w:pPr>
      <w:tabs>
        <w:tab w:val="center" w:pos="4680"/>
        <w:tab w:val="right" w:pos="9360"/>
      </w:tabs>
    </w:pPr>
  </w:style>
  <w:style w:type="character" w:customStyle="1" w:styleId="FooterChar">
    <w:name w:val="Footer Char"/>
    <w:basedOn w:val="DefaultParagraphFont"/>
    <w:link w:val="Footer"/>
    <w:uiPriority w:val="99"/>
    <w:locked/>
    <w:rsid w:val="00FC059D"/>
    <w:rPr>
      <w:rFonts w:cs="Times New Roman"/>
      <w:sz w:val="24"/>
      <w:szCs w:val="24"/>
    </w:rPr>
  </w:style>
  <w:style w:type="paragraph" w:styleId="NormalWeb">
    <w:name w:val="Normal (Web)"/>
    <w:basedOn w:val="Normal"/>
    <w:uiPriority w:val="99"/>
    <w:rsid w:val="00FC059D"/>
    <w:pPr>
      <w:spacing w:before="100" w:beforeAutospacing="1" w:after="100" w:afterAutospacing="1"/>
    </w:pPr>
    <w:rPr>
      <w:rFonts w:ascii="Arial" w:hAnsi="Arial" w:cs="Arial"/>
    </w:rPr>
  </w:style>
  <w:style w:type="paragraph" w:customStyle="1" w:styleId="Address">
    <w:name w:val="Address"/>
    <w:basedOn w:val="Normal"/>
    <w:uiPriority w:val="99"/>
    <w:rsid w:val="00FC059D"/>
    <w:pPr>
      <w:framePr w:w="2160" w:h="720" w:hSpace="187" w:wrap="notBeside" w:vAnchor="page" w:hAnchor="page" w:x="9071" w:y="865"/>
    </w:pPr>
    <w:rPr>
      <w:rFonts w:ascii="Helvetica" w:hAnsi="Helvetica" w:cs="Helvetica"/>
      <w:color w:val="808080"/>
      <w:sz w:val="18"/>
      <w:szCs w:val="18"/>
    </w:rPr>
  </w:style>
  <w:style w:type="character" w:customStyle="1" w:styleId="CommentTextChar">
    <w:name w:val="Comment Text Char"/>
    <w:basedOn w:val="DefaultParagraphFont"/>
    <w:link w:val="CommentText"/>
    <w:uiPriority w:val="99"/>
    <w:locked/>
    <w:rsid w:val="00FC059D"/>
    <w:rPr>
      <w:rFonts w:cs="Times New Roman"/>
      <w:lang w:val="en-US" w:eastAsia="en-US" w:bidi="ar-SA"/>
    </w:rPr>
  </w:style>
  <w:style w:type="paragraph" w:styleId="CommentText">
    <w:name w:val="annotation text"/>
    <w:basedOn w:val="Normal"/>
    <w:link w:val="CommentTextChar"/>
    <w:uiPriority w:val="99"/>
    <w:rsid w:val="00FC059D"/>
    <w:rPr>
      <w:sz w:val="20"/>
      <w:szCs w:val="20"/>
    </w:rPr>
  </w:style>
  <w:style w:type="character" w:customStyle="1" w:styleId="CommentTextChar1">
    <w:name w:val="Comment Text Char1"/>
    <w:basedOn w:val="DefaultParagraphFont"/>
    <w:uiPriority w:val="99"/>
    <w:semiHidden/>
    <w:rsid w:val="00FC059D"/>
    <w:rPr>
      <w:rFonts w:cs="Times New Roman"/>
      <w:sz w:val="20"/>
      <w:szCs w:val="20"/>
    </w:rPr>
  </w:style>
  <w:style w:type="character" w:styleId="CommentReference">
    <w:name w:val="annotation reference"/>
    <w:basedOn w:val="DefaultParagraphFont"/>
    <w:uiPriority w:val="99"/>
    <w:rsid w:val="00FC059D"/>
    <w:rPr>
      <w:rFonts w:cs="Times New Roman"/>
      <w:sz w:val="16"/>
      <w:szCs w:val="16"/>
    </w:rPr>
  </w:style>
  <w:style w:type="paragraph" w:styleId="CommentSubject">
    <w:name w:val="annotation subject"/>
    <w:basedOn w:val="CommentText"/>
    <w:next w:val="CommentText"/>
    <w:link w:val="CommentSubjectChar"/>
    <w:uiPriority w:val="99"/>
    <w:semiHidden/>
    <w:rsid w:val="00FC059D"/>
    <w:rPr>
      <w:b/>
      <w:bCs/>
    </w:rPr>
  </w:style>
  <w:style w:type="character" w:customStyle="1" w:styleId="CommentSubjectChar">
    <w:name w:val="Comment Subject Char"/>
    <w:basedOn w:val="CommentTextChar"/>
    <w:link w:val="CommentSubject"/>
    <w:uiPriority w:val="99"/>
    <w:semiHidden/>
    <w:locked/>
    <w:rsid w:val="00FC059D"/>
    <w:rPr>
      <w:rFonts w:cs="Times New Roman"/>
      <w:b/>
      <w:bCs/>
      <w:lang w:val="en-US" w:eastAsia="en-US" w:bidi="ar-SA"/>
    </w:rPr>
  </w:style>
  <w:style w:type="paragraph" w:styleId="Revision">
    <w:name w:val="Revision"/>
    <w:hidden/>
    <w:uiPriority w:val="99"/>
    <w:semiHidden/>
    <w:rsid w:val="00FC059D"/>
    <w:rPr>
      <w:sz w:val="24"/>
      <w:szCs w:val="24"/>
    </w:rPr>
  </w:style>
  <w:style w:type="paragraph" w:customStyle="1" w:styleId="NRNormal">
    <w:name w:val="NRNormal"/>
    <w:basedOn w:val="Normal"/>
    <w:uiPriority w:val="99"/>
    <w:rsid w:val="00FC059D"/>
    <w:pPr>
      <w:tabs>
        <w:tab w:val="left" w:pos="1710"/>
      </w:tabs>
    </w:pPr>
    <w:rPr>
      <w:szCs w:val="20"/>
    </w:rPr>
  </w:style>
  <w:style w:type="character" w:customStyle="1" w:styleId="NRBodyChar">
    <w:name w:val="NRBody Char"/>
    <w:link w:val="NRBody"/>
    <w:uiPriority w:val="99"/>
    <w:locked/>
    <w:rsid w:val="00FC059D"/>
    <w:rPr>
      <w:sz w:val="24"/>
    </w:rPr>
  </w:style>
  <w:style w:type="character" w:styleId="PageNumber">
    <w:name w:val="page number"/>
    <w:basedOn w:val="DefaultParagraphFont"/>
    <w:uiPriority w:val="99"/>
    <w:rsid w:val="00FC059D"/>
    <w:rPr>
      <w:rFonts w:cs="Times New Roman"/>
    </w:rPr>
  </w:style>
  <w:style w:type="character" w:styleId="FollowedHyperlink">
    <w:name w:val="FollowedHyperlink"/>
    <w:basedOn w:val="DefaultParagraphFont"/>
    <w:uiPriority w:val="99"/>
    <w:semiHidden/>
    <w:unhideWhenUsed/>
    <w:rsid w:val="004A6C92"/>
    <w:rPr>
      <w:color w:val="800080" w:themeColor="followedHyperlink"/>
      <w:u w:val="single"/>
    </w:rPr>
  </w:style>
  <w:style w:type="paragraph" w:styleId="FootnoteText">
    <w:name w:val="footnote text"/>
    <w:basedOn w:val="Normal"/>
    <w:link w:val="FootnoteTextChar"/>
    <w:uiPriority w:val="99"/>
    <w:semiHidden/>
    <w:unhideWhenUsed/>
    <w:rsid w:val="003A1E10"/>
    <w:rPr>
      <w:sz w:val="20"/>
      <w:szCs w:val="20"/>
    </w:rPr>
  </w:style>
  <w:style w:type="character" w:customStyle="1" w:styleId="FootnoteTextChar">
    <w:name w:val="Footnote Text Char"/>
    <w:basedOn w:val="DefaultParagraphFont"/>
    <w:link w:val="FootnoteText"/>
    <w:uiPriority w:val="99"/>
    <w:semiHidden/>
    <w:rsid w:val="003A1E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59D"/>
    <w:rPr>
      <w:sz w:val="24"/>
      <w:szCs w:val="24"/>
    </w:rPr>
  </w:style>
  <w:style w:type="paragraph" w:styleId="Heading1">
    <w:name w:val="heading 1"/>
    <w:basedOn w:val="Normal"/>
    <w:next w:val="Normal"/>
    <w:link w:val="Heading1Char"/>
    <w:uiPriority w:val="99"/>
    <w:qFormat/>
    <w:rsid w:val="00FC059D"/>
    <w:pPr>
      <w:keepNext/>
      <w:spacing w:before="240" w:after="60"/>
      <w:outlineLvl w:val="0"/>
    </w:pPr>
    <w:rPr>
      <w:b/>
      <w:bCs/>
      <w:kern w:val="28"/>
      <w:sz w:val="28"/>
      <w:szCs w:val="28"/>
    </w:rPr>
  </w:style>
  <w:style w:type="paragraph" w:styleId="Heading2">
    <w:name w:val="heading 2"/>
    <w:basedOn w:val="Normal"/>
    <w:next w:val="Normal"/>
    <w:link w:val="Heading2Char"/>
    <w:uiPriority w:val="99"/>
    <w:qFormat/>
    <w:rsid w:val="00FC059D"/>
    <w:pPr>
      <w:keepNext/>
      <w:spacing w:before="240" w:after="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05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C059D"/>
    <w:rPr>
      <w:rFonts w:ascii="Cambria" w:hAnsi="Cambria" w:cs="Times New Roman"/>
      <w:b/>
      <w:bCs/>
      <w:i/>
      <w:iCs/>
      <w:sz w:val="28"/>
      <w:szCs w:val="28"/>
    </w:rPr>
  </w:style>
  <w:style w:type="paragraph" w:styleId="ListBullet">
    <w:name w:val="List Bullet"/>
    <w:basedOn w:val="Normal"/>
    <w:uiPriority w:val="99"/>
    <w:rsid w:val="00FC059D"/>
    <w:pPr>
      <w:ind w:left="360" w:hanging="360"/>
    </w:pPr>
  </w:style>
  <w:style w:type="paragraph" w:styleId="ListBullet2">
    <w:name w:val="List Bullet 2"/>
    <w:basedOn w:val="Normal"/>
    <w:uiPriority w:val="99"/>
    <w:rsid w:val="00FC059D"/>
    <w:pPr>
      <w:ind w:left="720" w:hanging="360"/>
    </w:pPr>
    <w:rPr>
      <w:color w:val="0000FF"/>
    </w:rPr>
  </w:style>
  <w:style w:type="paragraph" w:customStyle="1" w:styleId="HeadingLine">
    <w:name w:val="Heading/Line"/>
    <w:basedOn w:val="Normal"/>
    <w:uiPriority w:val="99"/>
    <w:rsid w:val="00FC059D"/>
    <w:pPr>
      <w:keepNext/>
      <w:keepLines/>
      <w:pBdr>
        <w:bottom w:val="single" w:sz="6" w:space="3" w:color="auto"/>
      </w:pBdr>
      <w:spacing w:before="360" w:after="120" w:line="360" w:lineRule="exact"/>
    </w:pPr>
    <w:rPr>
      <w:b/>
      <w:bCs/>
      <w:caps/>
      <w:kern w:val="28"/>
      <w:sz w:val="28"/>
      <w:szCs w:val="28"/>
    </w:rPr>
  </w:style>
  <w:style w:type="paragraph" w:customStyle="1" w:styleId="subheader">
    <w:name w:val="subheader"/>
    <w:basedOn w:val="Normal"/>
    <w:uiPriority w:val="99"/>
    <w:rsid w:val="00FC059D"/>
    <w:rPr>
      <w:b/>
      <w:bCs/>
      <w:u w:val="single"/>
    </w:rPr>
  </w:style>
  <w:style w:type="paragraph" w:customStyle="1" w:styleId="BoldHeading">
    <w:name w:val="Bold Heading"/>
    <w:basedOn w:val="Normal"/>
    <w:uiPriority w:val="99"/>
    <w:rsid w:val="00FC059D"/>
    <w:pPr>
      <w:keepNext/>
      <w:spacing w:before="240" w:after="60"/>
    </w:pPr>
    <w:rPr>
      <w:b/>
      <w:bCs/>
    </w:rPr>
  </w:style>
  <w:style w:type="paragraph" w:styleId="Index1">
    <w:name w:val="index 1"/>
    <w:basedOn w:val="Normal"/>
    <w:next w:val="Normal"/>
    <w:uiPriority w:val="99"/>
    <w:semiHidden/>
    <w:rsid w:val="00FC059D"/>
    <w:pPr>
      <w:tabs>
        <w:tab w:val="right" w:leader="dot" w:pos="14400"/>
      </w:tabs>
      <w:ind w:left="240" w:hanging="240"/>
    </w:pPr>
  </w:style>
  <w:style w:type="paragraph" w:customStyle="1" w:styleId="M-HEAD">
    <w:name w:val="M-HEAD"/>
    <w:basedOn w:val="Normal"/>
    <w:uiPriority w:val="99"/>
    <w:rsid w:val="00FC059D"/>
    <w:rPr>
      <w:rFonts w:ascii="Bookman Old Style" w:hAnsi="Bookman Old Style" w:cs="Bookman Old Style"/>
      <w:sz w:val="28"/>
      <w:szCs w:val="28"/>
      <w:u w:val="single"/>
    </w:rPr>
  </w:style>
  <w:style w:type="paragraph" w:customStyle="1" w:styleId="Style1">
    <w:name w:val="Style1"/>
    <w:basedOn w:val="ListBullet2"/>
    <w:uiPriority w:val="99"/>
    <w:rsid w:val="00FC059D"/>
  </w:style>
  <w:style w:type="paragraph" w:styleId="List3">
    <w:name w:val="List 3"/>
    <w:basedOn w:val="Normal"/>
    <w:uiPriority w:val="99"/>
    <w:rsid w:val="00FC059D"/>
    <w:pPr>
      <w:ind w:left="1080" w:hanging="360"/>
    </w:pPr>
  </w:style>
  <w:style w:type="paragraph" w:styleId="BodyText">
    <w:name w:val="Body Text"/>
    <w:basedOn w:val="Normal"/>
    <w:link w:val="BodyTextChar"/>
    <w:uiPriority w:val="99"/>
    <w:rsid w:val="00FC059D"/>
    <w:pPr>
      <w:spacing w:line="480" w:lineRule="auto"/>
      <w:jc w:val="both"/>
    </w:pPr>
  </w:style>
  <w:style w:type="character" w:customStyle="1" w:styleId="BodyTextChar">
    <w:name w:val="Body Text Char"/>
    <w:basedOn w:val="DefaultParagraphFont"/>
    <w:link w:val="BodyText"/>
    <w:uiPriority w:val="99"/>
    <w:semiHidden/>
    <w:locked/>
    <w:rsid w:val="00FC059D"/>
    <w:rPr>
      <w:rFonts w:cs="Times New Roman"/>
      <w:sz w:val="24"/>
      <w:szCs w:val="24"/>
    </w:rPr>
  </w:style>
  <w:style w:type="paragraph" w:styleId="BodyText2">
    <w:name w:val="Body Text 2"/>
    <w:basedOn w:val="Normal"/>
    <w:link w:val="BodyText2Char"/>
    <w:uiPriority w:val="99"/>
    <w:rsid w:val="00FC059D"/>
    <w:pPr>
      <w:spacing w:line="480" w:lineRule="auto"/>
      <w:ind w:firstLine="720"/>
    </w:pPr>
  </w:style>
  <w:style w:type="character" w:customStyle="1" w:styleId="BodyText2Char">
    <w:name w:val="Body Text 2 Char"/>
    <w:basedOn w:val="DefaultParagraphFont"/>
    <w:link w:val="BodyText2"/>
    <w:uiPriority w:val="99"/>
    <w:semiHidden/>
    <w:locked/>
    <w:rsid w:val="00FC059D"/>
    <w:rPr>
      <w:rFonts w:cs="Times New Roman"/>
      <w:sz w:val="24"/>
      <w:szCs w:val="24"/>
    </w:rPr>
  </w:style>
  <w:style w:type="paragraph" w:styleId="BalloonText">
    <w:name w:val="Balloon Text"/>
    <w:basedOn w:val="Normal"/>
    <w:link w:val="BalloonTextChar"/>
    <w:uiPriority w:val="99"/>
    <w:semiHidden/>
    <w:rsid w:val="00FC05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59D"/>
    <w:rPr>
      <w:rFonts w:cs="Times New Roman"/>
      <w:sz w:val="2"/>
    </w:rPr>
  </w:style>
  <w:style w:type="paragraph" w:customStyle="1" w:styleId="NRBody">
    <w:name w:val="NRBody"/>
    <w:basedOn w:val="Normal"/>
    <w:link w:val="NRBodyChar"/>
    <w:uiPriority w:val="99"/>
    <w:rsid w:val="00FC059D"/>
    <w:pPr>
      <w:tabs>
        <w:tab w:val="left" w:pos="1260"/>
      </w:tabs>
      <w:spacing w:line="480" w:lineRule="auto"/>
      <w:ind w:left="900" w:right="-270"/>
    </w:pPr>
    <w:rPr>
      <w:szCs w:val="20"/>
    </w:rPr>
  </w:style>
  <w:style w:type="character" w:styleId="Hyperlink">
    <w:name w:val="Hyperlink"/>
    <w:basedOn w:val="DefaultParagraphFont"/>
    <w:uiPriority w:val="99"/>
    <w:rsid w:val="00FC059D"/>
    <w:rPr>
      <w:rFonts w:cs="Times New Roman"/>
      <w:color w:val="0000FF"/>
      <w:u w:val="single"/>
    </w:rPr>
  </w:style>
  <w:style w:type="paragraph" w:styleId="Header">
    <w:name w:val="header"/>
    <w:basedOn w:val="Normal"/>
    <w:link w:val="HeaderChar"/>
    <w:uiPriority w:val="99"/>
    <w:rsid w:val="00FC059D"/>
    <w:pPr>
      <w:tabs>
        <w:tab w:val="center" w:pos="4680"/>
        <w:tab w:val="right" w:pos="9360"/>
      </w:tabs>
    </w:pPr>
  </w:style>
  <w:style w:type="character" w:customStyle="1" w:styleId="HeaderChar">
    <w:name w:val="Header Char"/>
    <w:basedOn w:val="DefaultParagraphFont"/>
    <w:link w:val="Header"/>
    <w:uiPriority w:val="99"/>
    <w:locked/>
    <w:rsid w:val="00FC059D"/>
    <w:rPr>
      <w:rFonts w:cs="Times New Roman"/>
      <w:sz w:val="24"/>
      <w:szCs w:val="24"/>
    </w:rPr>
  </w:style>
  <w:style w:type="paragraph" w:styleId="Footer">
    <w:name w:val="footer"/>
    <w:basedOn w:val="Normal"/>
    <w:link w:val="FooterChar"/>
    <w:uiPriority w:val="99"/>
    <w:rsid w:val="00FC059D"/>
    <w:pPr>
      <w:tabs>
        <w:tab w:val="center" w:pos="4680"/>
        <w:tab w:val="right" w:pos="9360"/>
      </w:tabs>
    </w:pPr>
  </w:style>
  <w:style w:type="character" w:customStyle="1" w:styleId="FooterChar">
    <w:name w:val="Footer Char"/>
    <w:basedOn w:val="DefaultParagraphFont"/>
    <w:link w:val="Footer"/>
    <w:uiPriority w:val="99"/>
    <w:locked/>
    <w:rsid w:val="00FC059D"/>
    <w:rPr>
      <w:rFonts w:cs="Times New Roman"/>
      <w:sz w:val="24"/>
      <w:szCs w:val="24"/>
    </w:rPr>
  </w:style>
  <w:style w:type="paragraph" w:styleId="NormalWeb">
    <w:name w:val="Normal (Web)"/>
    <w:basedOn w:val="Normal"/>
    <w:uiPriority w:val="99"/>
    <w:rsid w:val="00FC059D"/>
    <w:pPr>
      <w:spacing w:before="100" w:beforeAutospacing="1" w:after="100" w:afterAutospacing="1"/>
    </w:pPr>
    <w:rPr>
      <w:rFonts w:ascii="Arial" w:hAnsi="Arial" w:cs="Arial"/>
    </w:rPr>
  </w:style>
  <w:style w:type="paragraph" w:customStyle="1" w:styleId="Address">
    <w:name w:val="Address"/>
    <w:basedOn w:val="Normal"/>
    <w:uiPriority w:val="99"/>
    <w:rsid w:val="00FC059D"/>
    <w:pPr>
      <w:framePr w:w="2160" w:h="720" w:hSpace="187" w:wrap="notBeside" w:vAnchor="page" w:hAnchor="page" w:x="9071" w:y="865"/>
    </w:pPr>
    <w:rPr>
      <w:rFonts w:ascii="Helvetica" w:hAnsi="Helvetica" w:cs="Helvetica"/>
      <w:color w:val="808080"/>
      <w:sz w:val="18"/>
      <w:szCs w:val="18"/>
    </w:rPr>
  </w:style>
  <w:style w:type="character" w:customStyle="1" w:styleId="CommentTextChar">
    <w:name w:val="Comment Text Char"/>
    <w:basedOn w:val="DefaultParagraphFont"/>
    <w:link w:val="CommentText"/>
    <w:uiPriority w:val="99"/>
    <w:locked/>
    <w:rsid w:val="00FC059D"/>
    <w:rPr>
      <w:rFonts w:cs="Times New Roman"/>
      <w:lang w:val="en-US" w:eastAsia="en-US" w:bidi="ar-SA"/>
    </w:rPr>
  </w:style>
  <w:style w:type="paragraph" w:styleId="CommentText">
    <w:name w:val="annotation text"/>
    <w:basedOn w:val="Normal"/>
    <w:link w:val="CommentTextChar"/>
    <w:uiPriority w:val="99"/>
    <w:rsid w:val="00FC059D"/>
    <w:rPr>
      <w:sz w:val="20"/>
      <w:szCs w:val="20"/>
    </w:rPr>
  </w:style>
  <w:style w:type="character" w:customStyle="1" w:styleId="CommentTextChar1">
    <w:name w:val="Comment Text Char1"/>
    <w:basedOn w:val="DefaultParagraphFont"/>
    <w:uiPriority w:val="99"/>
    <w:semiHidden/>
    <w:rsid w:val="00FC059D"/>
    <w:rPr>
      <w:rFonts w:cs="Times New Roman"/>
      <w:sz w:val="20"/>
      <w:szCs w:val="20"/>
    </w:rPr>
  </w:style>
  <w:style w:type="character" w:styleId="CommentReference">
    <w:name w:val="annotation reference"/>
    <w:basedOn w:val="DefaultParagraphFont"/>
    <w:uiPriority w:val="99"/>
    <w:rsid w:val="00FC059D"/>
    <w:rPr>
      <w:rFonts w:cs="Times New Roman"/>
      <w:sz w:val="16"/>
      <w:szCs w:val="16"/>
    </w:rPr>
  </w:style>
  <w:style w:type="paragraph" w:styleId="CommentSubject">
    <w:name w:val="annotation subject"/>
    <w:basedOn w:val="CommentText"/>
    <w:next w:val="CommentText"/>
    <w:link w:val="CommentSubjectChar"/>
    <w:uiPriority w:val="99"/>
    <w:semiHidden/>
    <w:rsid w:val="00FC059D"/>
    <w:rPr>
      <w:b/>
      <w:bCs/>
    </w:rPr>
  </w:style>
  <w:style w:type="character" w:customStyle="1" w:styleId="CommentSubjectChar">
    <w:name w:val="Comment Subject Char"/>
    <w:basedOn w:val="CommentTextChar"/>
    <w:link w:val="CommentSubject"/>
    <w:uiPriority w:val="99"/>
    <w:semiHidden/>
    <w:locked/>
    <w:rsid w:val="00FC059D"/>
    <w:rPr>
      <w:rFonts w:cs="Times New Roman"/>
      <w:b/>
      <w:bCs/>
      <w:lang w:val="en-US" w:eastAsia="en-US" w:bidi="ar-SA"/>
    </w:rPr>
  </w:style>
  <w:style w:type="paragraph" w:styleId="Revision">
    <w:name w:val="Revision"/>
    <w:hidden/>
    <w:uiPriority w:val="99"/>
    <w:semiHidden/>
    <w:rsid w:val="00FC059D"/>
    <w:rPr>
      <w:sz w:val="24"/>
      <w:szCs w:val="24"/>
    </w:rPr>
  </w:style>
  <w:style w:type="paragraph" w:customStyle="1" w:styleId="NRNormal">
    <w:name w:val="NRNormal"/>
    <w:basedOn w:val="Normal"/>
    <w:uiPriority w:val="99"/>
    <w:rsid w:val="00FC059D"/>
    <w:pPr>
      <w:tabs>
        <w:tab w:val="left" w:pos="1710"/>
      </w:tabs>
    </w:pPr>
    <w:rPr>
      <w:szCs w:val="20"/>
    </w:rPr>
  </w:style>
  <w:style w:type="character" w:customStyle="1" w:styleId="NRBodyChar">
    <w:name w:val="NRBody Char"/>
    <w:link w:val="NRBody"/>
    <w:uiPriority w:val="99"/>
    <w:locked/>
    <w:rsid w:val="00FC059D"/>
    <w:rPr>
      <w:sz w:val="24"/>
    </w:rPr>
  </w:style>
  <w:style w:type="character" w:styleId="PageNumber">
    <w:name w:val="page number"/>
    <w:basedOn w:val="DefaultParagraphFont"/>
    <w:uiPriority w:val="99"/>
    <w:rsid w:val="00FC059D"/>
    <w:rPr>
      <w:rFonts w:cs="Times New Roman"/>
    </w:rPr>
  </w:style>
  <w:style w:type="character" w:styleId="FollowedHyperlink">
    <w:name w:val="FollowedHyperlink"/>
    <w:basedOn w:val="DefaultParagraphFont"/>
    <w:uiPriority w:val="99"/>
    <w:semiHidden/>
    <w:unhideWhenUsed/>
    <w:rsid w:val="004A6C92"/>
    <w:rPr>
      <w:color w:val="800080" w:themeColor="followedHyperlink"/>
      <w:u w:val="single"/>
    </w:rPr>
  </w:style>
  <w:style w:type="paragraph" w:styleId="FootnoteText">
    <w:name w:val="footnote text"/>
    <w:basedOn w:val="Normal"/>
    <w:link w:val="FootnoteTextChar"/>
    <w:uiPriority w:val="99"/>
    <w:semiHidden/>
    <w:unhideWhenUsed/>
    <w:rsid w:val="003A1E10"/>
    <w:rPr>
      <w:sz w:val="20"/>
      <w:szCs w:val="20"/>
    </w:rPr>
  </w:style>
  <w:style w:type="character" w:customStyle="1" w:styleId="FootnoteTextChar">
    <w:name w:val="Footnote Text Char"/>
    <w:basedOn w:val="DefaultParagraphFont"/>
    <w:link w:val="FootnoteText"/>
    <w:uiPriority w:val="99"/>
    <w:semiHidden/>
    <w:rsid w:val="003A1E10"/>
    <w:rPr>
      <w:sz w:val="20"/>
      <w:szCs w:val="20"/>
    </w:rPr>
  </w:style>
</w:styles>
</file>

<file path=word/webSettings.xml><?xml version="1.0" encoding="utf-8"?>
<w:webSettings xmlns:r="http://schemas.openxmlformats.org/officeDocument/2006/relationships" xmlns:w="http://schemas.openxmlformats.org/wordprocessingml/2006/main">
  <w:divs>
    <w:div w:id="411896763">
      <w:bodyDiv w:val="1"/>
      <w:marLeft w:val="0"/>
      <w:marRight w:val="0"/>
      <w:marTop w:val="0"/>
      <w:marBottom w:val="0"/>
      <w:divBdr>
        <w:top w:val="none" w:sz="0" w:space="0" w:color="auto"/>
        <w:left w:val="none" w:sz="0" w:space="0" w:color="auto"/>
        <w:bottom w:val="none" w:sz="0" w:space="0" w:color="auto"/>
        <w:right w:val="none" w:sz="0" w:space="0" w:color="auto"/>
      </w:divBdr>
    </w:div>
    <w:div w:id="1352607553">
      <w:marLeft w:val="0"/>
      <w:marRight w:val="0"/>
      <w:marTop w:val="0"/>
      <w:marBottom w:val="0"/>
      <w:divBdr>
        <w:top w:val="none" w:sz="0" w:space="0" w:color="auto"/>
        <w:left w:val="none" w:sz="0" w:space="0" w:color="auto"/>
        <w:bottom w:val="none" w:sz="0" w:space="0" w:color="auto"/>
        <w:right w:val="none" w:sz="0" w:space="0" w:color="auto"/>
      </w:divBdr>
    </w:div>
    <w:div w:id="1352607554">
      <w:marLeft w:val="0"/>
      <w:marRight w:val="0"/>
      <w:marTop w:val="0"/>
      <w:marBottom w:val="0"/>
      <w:divBdr>
        <w:top w:val="none" w:sz="0" w:space="0" w:color="auto"/>
        <w:left w:val="none" w:sz="0" w:space="0" w:color="auto"/>
        <w:bottom w:val="none" w:sz="0" w:space="0" w:color="auto"/>
        <w:right w:val="none" w:sz="0" w:space="0" w:color="auto"/>
      </w:divBdr>
    </w:div>
    <w:div w:id="1352607555">
      <w:marLeft w:val="0"/>
      <w:marRight w:val="0"/>
      <w:marTop w:val="0"/>
      <w:marBottom w:val="0"/>
      <w:divBdr>
        <w:top w:val="none" w:sz="0" w:space="0" w:color="auto"/>
        <w:left w:val="none" w:sz="0" w:space="0" w:color="auto"/>
        <w:bottom w:val="none" w:sz="0" w:space="0" w:color="auto"/>
        <w:right w:val="none" w:sz="0" w:space="0" w:color="auto"/>
      </w:divBdr>
    </w:div>
    <w:div w:id="1352607556">
      <w:marLeft w:val="0"/>
      <w:marRight w:val="0"/>
      <w:marTop w:val="0"/>
      <w:marBottom w:val="0"/>
      <w:divBdr>
        <w:top w:val="none" w:sz="0" w:space="0" w:color="auto"/>
        <w:left w:val="none" w:sz="0" w:space="0" w:color="auto"/>
        <w:bottom w:val="none" w:sz="0" w:space="0" w:color="auto"/>
        <w:right w:val="none" w:sz="0" w:space="0" w:color="auto"/>
      </w:divBdr>
    </w:div>
    <w:div w:id="1352607557">
      <w:marLeft w:val="0"/>
      <w:marRight w:val="0"/>
      <w:marTop w:val="0"/>
      <w:marBottom w:val="0"/>
      <w:divBdr>
        <w:top w:val="none" w:sz="0" w:space="0" w:color="auto"/>
        <w:left w:val="none" w:sz="0" w:space="0" w:color="auto"/>
        <w:bottom w:val="none" w:sz="0" w:space="0" w:color="auto"/>
        <w:right w:val="none" w:sz="0" w:space="0" w:color="auto"/>
      </w:divBdr>
    </w:div>
    <w:div w:id="1352607558">
      <w:marLeft w:val="0"/>
      <w:marRight w:val="0"/>
      <w:marTop w:val="0"/>
      <w:marBottom w:val="0"/>
      <w:divBdr>
        <w:top w:val="none" w:sz="0" w:space="0" w:color="auto"/>
        <w:left w:val="none" w:sz="0" w:space="0" w:color="auto"/>
        <w:bottom w:val="none" w:sz="0" w:space="0" w:color="auto"/>
        <w:right w:val="none" w:sz="0" w:space="0" w:color="auto"/>
      </w:divBdr>
    </w:div>
    <w:div w:id="1878276541">
      <w:bodyDiv w:val="1"/>
      <w:marLeft w:val="0"/>
      <w:marRight w:val="0"/>
      <w:marTop w:val="0"/>
      <w:marBottom w:val="0"/>
      <w:divBdr>
        <w:top w:val="none" w:sz="0" w:space="0" w:color="auto"/>
        <w:left w:val="none" w:sz="0" w:space="0" w:color="auto"/>
        <w:bottom w:val="none" w:sz="0" w:space="0" w:color="auto"/>
        <w:right w:val="none" w:sz="0" w:space="0" w:color="auto"/>
      </w:divBdr>
    </w:div>
    <w:div w:id="20394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holdings.com/itc-entergy.html" TargetMode="External"/><Relationship Id="rId13" Type="http://schemas.openxmlformats.org/officeDocument/2006/relationships/hyperlink" Target="http://www.twitter.com/EntergyLA" TargetMode="External"/><Relationship Id="rId18" Type="http://schemas.openxmlformats.org/officeDocument/2006/relationships/hyperlink" Target="http://www.sec.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yperlink" Target="http://www.entergyneworleans.com" TargetMode="External"/><Relationship Id="rId17" Type="http://schemas.openxmlformats.org/officeDocument/2006/relationships/hyperlink" Target="http://www.entergy.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acebook.com/EntergyNOLA" TargetMode="External"/><Relationship Id="rId20" Type="http://schemas.openxmlformats.org/officeDocument/2006/relationships/hyperlink" Target="mailto:pwater1@entergy.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ergylouisiana.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EntergyL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c-holdings.com" TargetMode="External"/><Relationship Id="rId19" Type="http://schemas.openxmlformats.org/officeDocument/2006/relationships/hyperlink" Target="mailto:pallison@entergy.com" TargetMode="External"/><Relationship Id="rId4" Type="http://schemas.openxmlformats.org/officeDocument/2006/relationships/settings" Target="settings.xml"/><Relationship Id="rId9" Type="http://schemas.openxmlformats.org/officeDocument/2006/relationships/hyperlink" Target="http://www.entergy.com/transmissionmerger/default.aspx" TargetMode="External"/><Relationship Id="rId14" Type="http://schemas.openxmlformats.org/officeDocument/2006/relationships/hyperlink" Target="http://www.twitter.com/entergyNOLA" TargetMode="External"/><Relationship Id="rId22" Type="http://schemas.openxmlformats.org/officeDocument/2006/relationships/hyperlink" Target="mailto:gholloway@itctransco.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0022-7351-42AB-B81A-B21C917F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International Transmission Company</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Pharr</dc:creator>
  <cp:lastModifiedBy>dcaplan</cp:lastModifiedBy>
  <cp:revision>2</cp:revision>
  <cp:lastPrinted>2012-09-11T20:15:00Z</cp:lastPrinted>
  <dcterms:created xsi:type="dcterms:W3CDTF">2012-09-12T20:08:00Z</dcterms:created>
  <dcterms:modified xsi:type="dcterms:W3CDTF">2012-09-12T20:08:00Z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