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023" w:rsidRDefault="00E17023" w:rsidP="00E17023">
      <w:pPr>
        <w:jc w:val="center"/>
      </w:pPr>
      <w:r>
        <w:rPr>
          <w:b/>
          <w:u w:val="single"/>
        </w:rPr>
        <w:t>Notification Regarding TSR Conversion for MISO South Integrating Companies</w:t>
      </w:r>
      <w:r>
        <w:rPr>
          <w:b/>
        </w:rPr>
        <w:t>:</w:t>
      </w:r>
    </w:p>
    <w:p w:rsidR="00263A07" w:rsidRDefault="00E17023" w:rsidP="009518EB">
      <w:pPr>
        <w:jc w:val="center"/>
        <w:rPr>
          <w:lang w:eastAsia="zh-CN"/>
        </w:rPr>
      </w:pPr>
      <w:r>
        <w:t xml:space="preserve">This document sets forth the processes MISO will use for TSR conversion and processing for the December Market Integration of </w:t>
      </w:r>
      <w:r w:rsidR="00263A07">
        <w:t>Southern Region</w:t>
      </w:r>
      <w:r>
        <w:t>.</w:t>
      </w:r>
      <w:r w:rsidR="00E8495F">
        <w:rPr>
          <w:lang w:eastAsia="zh-CN"/>
        </w:rPr>
        <w:t xml:space="preserve">  This document pertains to all current EES transmission customers, and any other Southern region integrating company who does not currently use EES transmission, but will use MISO transmission at the time of integration.</w:t>
      </w:r>
    </w:p>
    <w:p w:rsidR="00353B73" w:rsidRDefault="009518EB" w:rsidP="0005661B">
      <w:pPr>
        <w:jc w:val="center"/>
        <w:rPr>
          <w:b/>
        </w:rPr>
      </w:pPr>
      <w:r>
        <w:rPr>
          <w:b/>
        </w:rPr>
        <w:t>TRANSITION OF TSR PROCESSING</w:t>
      </w:r>
      <w:r w:rsidR="00353B73">
        <w:rPr>
          <w:b/>
        </w:rPr>
        <w:t xml:space="preserve"> AND</w:t>
      </w:r>
    </w:p>
    <w:p w:rsidR="0005661B" w:rsidRDefault="00E8495F" w:rsidP="0005661B">
      <w:pPr>
        <w:jc w:val="center"/>
        <w:rPr>
          <w:b/>
          <w:lang w:eastAsia="zh-CN"/>
        </w:rPr>
      </w:pPr>
      <w:r>
        <w:rPr>
          <w:b/>
        </w:rPr>
        <w:t>CONVERSION</w:t>
      </w:r>
      <w:r w:rsidR="00C66050">
        <w:rPr>
          <w:b/>
        </w:rPr>
        <w:t xml:space="preserve"> TO THE MISO OASIS</w:t>
      </w:r>
      <w:r w:rsidR="00E337C9">
        <w:rPr>
          <w:rFonts w:hint="eastAsia"/>
          <w:b/>
          <w:lang w:eastAsia="zh-CN"/>
        </w:rPr>
        <w:t xml:space="preserve"> </w:t>
      </w:r>
    </w:p>
    <w:p w:rsidR="009518EB" w:rsidRDefault="0005661B" w:rsidP="0079255D">
      <w:pPr>
        <w:pStyle w:val="ListParagraph"/>
        <w:numPr>
          <w:ilvl w:val="0"/>
          <w:numId w:val="1"/>
        </w:numPr>
      </w:pPr>
      <w:r>
        <w:t>O</w:t>
      </w:r>
      <w:r w:rsidR="00C66050">
        <w:t>n or about Dece</w:t>
      </w:r>
      <w:r w:rsidR="009518EB">
        <w:t>mber 1</w:t>
      </w:r>
      <w:r w:rsidR="00C66050">
        <w:t>9</w:t>
      </w:r>
      <w:r>
        <w:t>, 2013, southern region integrating companies will join the MISO market as registered market participants, local balancing authorities, and transmission owners in the MISO footprint.</w:t>
      </w:r>
      <w:r w:rsidR="007A4038">
        <w:rPr>
          <w:rFonts w:hint="eastAsia"/>
          <w:lang w:eastAsia="zh-CN"/>
        </w:rPr>
        <w:t xml:space="preserve"> </w:t>
      </w:r>
    </w:p>
    <w:p w:rsidR="009518EB" w:rsidRDefault="009518EB" w:rsidP="009518EB">
      <w:pPr>
        <w:pStyle w:val="ListParagraph"/>
        <w:numPr>
          <w:ilvl w:val="0"/>
          <w:numId w:val="1"/>
        </w:numPr>
      </w:pPr>
      <w:r>
        <w:t xml:space="preserve">On or about </w:t>
      </w:r>
      <w:r w:rsidR="00C66050" w:rsidRPr="006E3E2A">
        <w:t>November 1</w:t>
      </w:r>
      <w:r w:rsidR="009D4F04">
        <w:t>9</w:t>
      </w:r>
      <w:r w:rsidR="00C66050" w:rsidRPr="006E3E2A">
        <w:t>, 2013</w:t>
      </w:r>
      <w:r w:rsidR="00C66050">
        <w:t>, the MISO</w:t>
      </w:r>
      <w:r>
        <w:t xml:space="preserve"> Transmission Provider page on the MISO OASIS node will be configured to allow transmission service to be reserved on the expanded MISO transmission system, including the ITC Mid-South transmission facilities, with a start </w:t>
      </w:r>
      <w:r w:rsidR="00C66050">
        <w:t>date of no earlier than Dec</w:t>
      </w:r>
      <w:r>
        <w:t>ember 1</w:t>
      </w:r>
      <w:r w:rsidR="00C66050">
        <w:t>9</w:t>
      </w:r>
      <w:r>
        <w:t>, 2013.</w:t>
      </w:r>
    </w:p>
    <w:p w:rsidR="009518EB" w:rsidRPr="00263A07" w:rsidRDefault="00C66050" w:rsidP="009518EB">
      <w:pPr>
        <w:pStyle w:val="ListParagraph"/>
        <w:numPr>
          <w:ilvl w:val="0"/>
          <w:numId w:val="1"/>
        </w:numPr>
      </w:pPr>
      <w:r>
        <w:t>Beginning on 11</w:t>
      </w:r>
      <w:r w:rsidR="009518EB">
        <w:t>/1</w:t>
      </w:r>
      <w:r w:rsidR="009D4F04">
        <w:t>9</w:t>
      </w:r>
      <w:r w:rsidR="009518EB">
        <w:t>/2013, transmission customers wishing to purchase transmission serv</w:t>
      </w:r>
      <w:r>
        <w:t>ice for any period on or after 12</w:t>
      </w:r>
      <w:r w:rsidR="009518EB">
        <w:t>/1</w:t>
      </w:r>
      <w:r>
        <w:t>9</w:t>
      </w:r>
      <w:r w:rsidR="009518EB">
        <w:t>/2013,</w:t>
      </w:r>
      <w:r w:rsidR="000114BF">
        <w:t xml:space="preserve"> </w:t>
      </w:r>
      <w:r w:rsidR="009518EB">
        <w:t xml:space="preserve">must do </w:t>
      </w:r>
      <w:proofErr w:type="gramStart"/>
      <w:r w:rsidR="009518EB">
        <w:t>so on</w:t>
      </w:r>
      <w:proofErr w:type="gramEnd"/>
      <w:r w:rsidR="009518EB">
        <w:t xml:space="preserve"> the </w:t>
      </w:r>
      <w:r>
        <w:t>MISO</w:t>
      </w:r>
      <w:r w:rsidR="009518EB">
        <w:t xml:space="preserve"> Transmission Provider page on the MISO OASIS.</w:t>
      </w:r>
      <w:r w:rsidR="00263A07">
        <w:rPr>
          <w:lang w:eastAsia="zh-CN"/>
        </w:rPr>
        <w:t xml:space="preserve">  </w:t>
      </w:r>
      <w:r w:rsidR="009D4F04" w:rsidRPr="0013499A">
        <w:rPr>
          <w:lang w:eastAsia="zh-CN"/>
        </w:rPr>
        <w:t>MISO Southern OASIS page and CLECO OASIS should be used only for requesting services before 12/19/2013.</w:t>
      </w:r>
    </w:p>
    <w:p w:rsidR="00263A07" w:rsidRDefault="00263A07" w:rsidP="009518EB">
      <w:pPr>
        <w:pStyle w:val="ListParagraph"/>
        <w:numPr>
          <w:ilvl w:val="0"/>
          <w:numId w:val="1"/>
        </w:numPr>
      </w:pPr>
      <w:r>
        <w:rPr>
          <w:lang w:eastAsia="zh-CN"/>
        </w:rPr>
        <w:t>Beginning on 12/19/2013, the MISO Southern OASIS will retire and all requests for transmission should be made on the MISO Midwest OASIS node.</w:t>
      </w:r>
    </w:p>
    <w:p w:rsidR="00124826" w:rsidRDefault="00C66050" w:rsidP="00124826">
      <w:pPr>
        <w:ind w:left="360"/>
        <w:jc w:val="center"/>
      </w:pPr>
      <w:r>
        <w:rPr>
          <w:b/>
        </w:rPr>
        <w:t>MODULE B-1</w:t>
      </w:r>
      <w:r w:rsidR="00124826">
        <w:rPr>
          <w:b/>
        </w:rPr>
        <w:t xml:space="preserve"> TRANSMISSION RESERVATIONS</w:t>
      </w:r>
    </w:p>
    <w:p w:rsidR="00862CA0" w:rsidRDefault="00C66050" w:rsidP="00862CA0">
      <w:pPr>
        <w:pStyle w:val="ListParagraph"/>
        <w:numPr>
          <w:ilvl w:val="0"/>
          <w:numId w:val="5"/>
        </w:numPr>
      </w:pPr>
      <w:r>
        <w:t>During the period 9/1/2013 to 11</w:t>
      </w:r>
      <w:r w:rsidR="00862CA0">
        <w:t>/31/2013, Transmission Customers or their assigned agent, must contact the MISO Tariff Administration department and provide TSR conversion elections.</w:t>
      </w:r>
    </w:p>
    <w:p w:rsidR="00D026A0" w:rsidRDefault="00124826" w:rsidP="00D026A0">
      <w:pPr>
        <w:pStyle w:val="ListParagraph"/>
        <w:numPr>
          <w:ilvl w:val="0"/>
          <w:numId w:val="5"/>
        </w:numPr>
      </w:pPr>
      <w:r>
        <w:t xml:space="preserve">Transmission Service Requests (TSRs) from the </w:t>
      </w:r>
      <w:r w:rsidR="00A01625">
        <w:t>MISO Southern</w:t>
      </w:r>
      <w:r w:rsidR="00C66050">
        <w:t xml:space="preserve"> OASIS page</w:t>
      </w:r>
      <w:r>
        <w:t xml:space="preserve"> hosted on the </w:t>
      </w:r>
      <w:r w:rsidR="00C66050">
        <w:t>MISO</w:t>
      </w:r>
      <w:r>
        <w:t xml:space="preserve"> OASIS node that are in the process of being evaluated will be transitioned to the </w:t>
      </w:r>
      <w:r w:rsidR="00C66050">
        <w:t>MISO</w:t>
      </w:r>
      <w:r>
        <w:t xml:space="preserve"> Transmission Provider page of the MISO OASIS node with MISO shown as the </w:t>
      </w:r>
      <w:r w:rsidR="00C66050">
        <w:t>Transmission Provider prior to 12</w:t>
      </w:r>
      <w:r>
        <w:t>/1</w:t>
      </w:r>
      <w:r w:rsidR="00C66050">
        <w:t>9</w:t>
      </w:r>
      <w:r>
        <w:t xml:space="preserve">/2013.  </w:t>
      </w:r>
      <w:r w:rsidR="00D026A0" w:rsidRPr="006E3E2A">
        <w:t xml:space="preserve">These requests will establish their MISO queue position based upon the TSR’s queued time on the </w:t>
      </w:r>
      <w:r w:rsidR="00A01625">
        <w:t>MISO Southern</w:t>
      </w:r>
      <w:r w:rsidR="00D026A0" w:rsidRPr="006E3E2A">
        <w:t xml:space="preserve"> OASIS node.</w:t>
      </w:r>
    </w:p>
    <w:p w:rsidR="00D026A0" w:rsidRDefault="00D026A0" w:rsidP="00D026A0">
      <w:pPr>
        <w:pStyle w:val="ListParagraph"/>
        <w:numPr>
          <w:ilvl w:val="0"/>
          <w:numId w:val="5"/>
        </w:numPr>
      </w:pPr>
      <w:r>
        <w:t xml:space="preserve">All requests on </w:t>
      </w:r>
      <w:r w:rsidRPr="0013499A">
        <w:t xml:space="preserve">the </w:t>
      </w:r>
      <w:r w:rsidR="00A01625" w:rsidRPr="0013499A">
        <w:t>MISO Southern</w:t>
      </w:r>
      <w:r w:rsidRPr="0013499A">
        <w:t xml:space="preserve"> OASIS, that h</w:t>
      </w:r>
      <w:r w:rsidR="00C66050" w:rsidRPr="0013499A">
        <w:t xml:space="preserve">ave a Start Date prior to </w:t>
      </w:r>
      <w:r w:rsidR="00335B7F" w:rsidRPr="0013499A">
        <w:t>September 1</w:t>
      </w:r>
      <w:r w:rsidRPr="0013499A">
        <w:t>,</w:t>
      </w:r>
      <w:r w:rsidR="00C66050" w:rsidRPr="0013499A">
        <w:t xml:space="preserve"> 2013 and an End Date after Dec</w:t>
      </w:r>
      <w:r w:rsidRPr="0013499A">
        <w:t>ember 1</w:t>
      </w:r>
      <w:r w:rsidR="00C66050" w:rsidRPr="0013499A">
        <w:t>9</w:t>
      </w:r>
      <w:r w:rsidRPr="0013499A">
        <w:t>, 2013, will be a</w:t>
      </w:r>
      <w:r w:rsidR="00C66050" w:rsidRPr="0013499A">
        <w:t xml:space="preserve">ssigned a new start date of </w:t>
      </w:r>
      <w:r w:rsidR="00335B7F" w:rsidRPr="0013499A">
        <w:t>September 1</w:t>
      </w:r>
      <w:r w:rsidR="00C66050" w:rsidRPr="0013499A">
        <w:t>, 2013</w:t>
      </w:r>
      <w:r w:rsidR="00C66050">
        <w:t xml:space="preserve"> on the MISO</w:t>
      </w:r>
      <w:r>
        <w:t xml:space="preserve"> Transmission Provider page on the MISO OASIS node.</w:t>
      </w:r>
    </w:p>
    <w:p w:rsidR="00D026A0" w:rsidRDefault="00D026A0" w:rsidP="00D026A0">
      <w:pPr>
        <w:pStyle w:val="ListParagraph"/>
        <w:numPr>
          <w:ilvl w:val="0"/>
          <w:numId w:val="5"/>
        </w:numPr>
      </w:pPr>
      <w:r>
        <w:t xml:space="preserve">Transmission service requests submitted on the </w:t>
      </w:r>
      <w:r w:rsidR="00F46412">
        <w:t>MISO</w:t>
      </w:r>
      <w:r w:rsidR="00C66050">
        <w:t xml:space="preserve"> OASIS node after November</w:t>
      </w:r>
      <w:r>
        <w:t xml:space="preserve"> 1</w:t>
      </w:r>
      <w:r w:rsidR="00335B7F">
        <w:t>9</w:t>
      </w:r>
      <w:r>
        <w:t>, 2013</w:t>
      </w:r>
      <w:r w:rsidR="00A01625">
        <w:t>, to begin 12/19/2013 and later,</w:t>
      </w:r>
      <w:r>
        <w:t xml:space="preserve"> </w:t>
      </w:r>
      <w:r w:rsidRPr="0013499A">
        <w:t xml:space="preserve">will be subject to analysis based </w:t>
      </w:r>
      <w:r w:rsidR="00C66050" w:rsidRPr="0013499A">
        <w:t>on the</w:t>
      </w:r>
      <w:r w:rsidR="00A01625" w:rsidRPr="0013499A">
        <w:t xml:space="preserve"> </w:t>
      </w:r>
      <w:r w:rsidR="00335B7F" w:rsidRPr="0013499A">
        <w:t>MISO regular market footprint practices rather than Module B-1 practices</w:t>
      </w:r>
      <w:r w:rsidR="00C66050" w:rsidRPr="0013499A">
        <w:t>.</w:t>
      </w:r>
      <w:r w:rsidR="00E337C9">
        <w:rPr>
          <w:rFonts w:hint="eastAsia"/>
          <w:lang w:eastAsia="zh-CN"/>
        </w:rPr>
        <w:t xml:space="preserve"> </w:t>
      </w:r>
    </w:p>
    <w:p w:rsidR="00581761" w:rsidRDefault="00581761" w:rsidP="00D026A0">
      <w:pPr>
        <w:pStyle w:val="ListParagraph"/>
        <w:numPr>
          <w:ilvl w:val="0"/>
          <w:numId w:val="5"/>
        </w:numPr>
      </w:pPr>
      <w:r>
        <w:t>Transmission Service Requ</w:t>
      </w:r>
      <w:r w:rsidR="00C66050">
        <w:t xml:space="preserve">ests (TSRs) from the </w:t>
      </w:r>
      <w:r w:rsidR="00A01625">
        <w:t>MISO Southern</w:t>
      </w:r>
      <w:r>
        <w:t xml:space="preserve"> OASIS tariff pages </w:t>
      </w:r>
      <w:r w:rsidRPr="006E3E2A">
        <w:t>will receive a new AREF</w:t>
      </w:r>
      <w:r>
        <w:t xml:space="preserve"> when they are transitioned to the </w:t>
      </w:r>
      <w:r w:rsidR="00201D5A">
        <w:t>MISO OASIS on November</w:t>
      </w:r>
      <w:r>
        <w:t xml:space="preserve"> 1</w:t>
      </w:r>
      <w:r w:rsidR="00335B7F">
        <w:t>9</w:t>
      </w:r>
      <w:r>
        <w:t>, 2013, and receive treatment in accordance with the MISO Tariff thereafter.</w:t>
      </w:r>
    </w:p>
    <w:p w:rsidR="00A94724" w:rsidRDefault="00A94724" w:rsidP="00A94724">
      <w:pPr>
        <w:ind w:left="360"/>
        <w:jc w:val="center"/>
        <w:rPr>
          <w:b/>
        </w:rPr>
      </w:pPr>
    </w:p>
    <w:p w:rsidR="00A94724" w:rsidRPr="00A94724" w:rsidRDefault="00A94724" w:rsidP="00A94724">
      <w:pPr>
        <w:ind w:left="360"/>
        <w:jc w:val="center"/>
        <w:rPr>
          <w:b/>
        </w:rPr>
      </w:pPr>
      <w:r w:rsidRPr="00A94724">
        <w:rPr>
          <w:b/>
        </w:rPr>
        <w:t>The below table should be used to evaluate your TSR for conversion to MISO as Transmission Provider.  MISO will contact registered MISO MP’s to facilitate the conversion of their TSRs based on the table provided below.</w:t>
      </w:r>
    </w:p>
    <w:tbl>
      <w:tblPr>
        <w:tblpPr w:leftFromText="180" w:rightFromText="180" w:vertAnchor="text" w:horzAnchor="margin" w:tblpXSpec="center" w:tblpY="822"/>
        <w:tblW w:w="7845" w:type="dxa"/>
        <w:tblCellSpacing w:w="0" w:type="dxa"/>
        <w:tblCellMar>
          <w:left w:w="0" w:type="dxa"/>
          <w:right w:w="0" w:type="dxa"/>
        </w:tblCellMar>
        <w:tblLook w:val="04A0" w:firstRow="1" w:lastRow="0" w:firstColumn="1" w:lastColumn="0" w:noHBand="0" w:noVBand="1"/>
      </w:tblPr>
      <w:tblGrid>
        <w:gridCol w:w="1813"/>
        <w:gridCol w:w="1947"/>
        <w:gridCol w:w="4085"/>
      </w:tblGrid>
      <w:tr w:rsidR="00A94724" w:rsidTr="00845FBD">
        <w:trPr>
          <w:trHeight w:val="720"/>
          <w:tblCellSpacing w:w="0" w:type="dxa"/>
        </w:trPr>
        <w:tc>
          <w:tcPr>
            <w:tcW w:w="1813" w:type="dxa"/>
            <w:tcBorders>
              <w:top w:val="single" w:sz="6" w:space="0" w:color="FFFFFF"/>
              <w:left w:val="single" w:sz="6" w:space="0" w:color="FFFFFF"/>
              <w:bottom w:val="single" w:sz="18" w:space="0" w:color="FFFFFF"/>
              <w:right w:val="single" w:sz="6" w:space="0" w:color="FFFFFF"/>
            </w:tcBorders>
            <w:shd w:val="clear" w:color="auto" w:fill="0092CF"/>
            <w:vAlign w:val="center"/>
            <w:hideMark/>
          </w:tcPr>
          <w:p w:rsidR="00A94724" w:rsidRDefault="00A94724" w:rsidP="00845FBD">
            <w:r>
              <w:rPr>
                <w:b/>
                <w:bCs/>
              </w:rPr>
              <w:t>Transaction Source</w:t>
            </w:r>
          </w:p>
        </w:tc>
        <w:tc>
          <w:tcPr>
            <w:tcW w:w="1947" w:type="dxa"/>
            <w:tcBorders>
              <w:top w:val="single" w:sz="6" w:space="0" w:color="FFFFFF"/>
              <w:left w:val="single" w:sz="6" w:space="0" w:color="FFFFFF"/>
              <w:bottom w:val="single" w:sz="18" w:space="0" w:color="FFFFFF"/>
              <w:right w:val="single" w:sz="6" w:space="0" w:color="FFFFFF"/>
            </w:tcBorders>
            <w:shd w:val="clear" w:color="auto" w:fill="0092CF"/>
            <w:vAlign w:val="center"/>
            <w:hideMark/>
          </w:tcPr>
          <w:p w:rsidR="00A94724" w:rsidRDefault="00A94724" w:rsidP="00845FBD">
            <w:r>
              <w:rPr>
                <w:b/>
                <w:bCs/>
              </w:rPr>
              <w:t>Transaction Sink</w:t>
            </w:r>
          </w:p>
        </w:tc>
        <w:tc>
          <w:tcPr>
            <w:tcW w:w="4085" w:type="dxa"/>
            <w:tcBorders>
              <w:top w:val="single" w:sz="6" w:space="0" w:color="FFFFFF"/>
              <w:left w:val="single" w:sz="6" w:space="0" w:color="FFFFFF"/>
              <w:bottom w:val="single" w:sz="18" w:space="0" w:color="FFFFFF"/>
              <w:right w:val="single" w:sz="6" w:space="0" w:color="FFFFFF"/>
            </w:tcBorders>
            <w:shd w:val="clear" w:color="auto" w:fill="0092CF"/>
            <w:vAlign w:val="center"/>
            <w:hideMark/>
          </w:tcPr>
          <w:p w:rsidR="00A94724" w:rsidRDefault="00A94724" w:rsidP="00845FBD">
            <w:r>
              <w:rPr>
                <w:b/>
                <w:bCs/>
              </w:rPr>
              <w:t>Conversion Option</w:t>
            </w:r>
          </w:p>
        </w:tc>
      </w:tr>
      <w:tr w:rsidR="00A94724" w:rsidTr="00845FBD">
        <w:trPr>
          <w:trHeight w:val="540"/>
          <w:tblCellSpacing w:w="0" w:type="dxa"/>
        </w:trPr>
        <w:tc>
          <w:tcPr>
            <w:tcW w:w="1813" w:type="dxa"/>
            <w:tcBorders>
              <w:top w:val="single" w:sz="18" w:space="0" w:color="FFFFFF"/>
              <w:left w:val="single" w:sz="6" w:space="0" w:color="FFFFFF"/>
              <w:bottom w:val="single" w:sz="6" w:space="0" w:color="FFFFFF"/>
              <w:right w:val="single" w:sz="6" w:space="0" w:color="FFFFFF"/>
            </w:tcBorders>
            <w:shd w:val="clear" w:color="auto" w:fill="CBCBCB"/>
            <w:vAlign w:val="center"/>
            <w:hideMark/>
          </w:tcPr>
          <w:p w:rsidR="00A94724" w:rsidRDefault="00A94724" w:rsidP="00845FBD">
            <w:r>
              <w:t>External</w:t>
            </w:r>
          </w:p>
        </w:tc>
        <w:tc>
          <w:tcPr>
            <w:tcW w:w="1947" w:type="dxa"/>
            <w:tcBorders>
              <w:top w:val="single" w:sz="18" w:space="0" w:color="FFFFFF"/>
              <w:left w:val="single" w:sz="6" w:space="0" w:color="FFFFFF"/>
              <w:bottom w:val="single" w:sz="6" w:space="0" w:color="FFFFFF"/>
              <w:right w:val="single" w:sz="6" w:space="0" w:color="FFFFFF"/>
            </w:tcBorders>
            <w:shd w:val="clear" w:color="auto" w:fill="CBCBCB"/>
            <w:vAlign w:val="center"/>
            <w:hideMark/>
          </w:tcPr>
          <w:p w:rsidR="00A94724" w:rsidRDefault="00A94724" w:rsidP="00845FBD">
            <w:r>
              <w:t>MISO</w:t>
            </w:r>
          </w:p>
        </w:tc>
        <w:tc>
          <w:tcPr>
            <w:tcW w:w="4085" w:type="dxa"/>
            <w:tcBorders>
              <w:top w:val="single" w:sz="18" w:space="0" w:color="FFFFFF"/>
              <w:left w:val="single" w:sz="6" w:space="0" w:color="FFFFFF"/>
              <w:bottom w:val="single" w:sz="6" w:space="0" w:color="FFFFFF"/>
              <w:right w:val="single" w:sz="6" w:space="0" w:color="FFFFFF"/>
            </w:tcBorders>
            <w:shd w:val="clear" w:color="auto" w:fill="CBCBCB"/>
            <w:vAlign w:val="center"/>
            <w:hideMark/>
          </w:tcPr>
          <w:p w:rsidR="00A94724" w:rsidRDefault="00A94724" w:rsidP="00845FBD">
            <w:r>
              <w:t>Remove or Network Service*</w:t>
            </w:r>
          </w:p>
        </w:tc>
      </w:tr>
      <w:tr w:rsidR="00A94724" w:rsidTr="00845FBD">
        <w:trPr>
          <w:trHeight w:val="540"/>
          <w:tblCellSpacing w:w="0" w:type="dxa"/>
        </w:trPr>
        <w:tc>
          <w:tcPr>
            <w:tcW w:w="1813" w:type="dxa"/>
            <w:tcBorders>
              <w:top w:val="single" w:sz="6" w:space="0" w:color="FFFFFF"/>
              <w:left w:val="single" w:sz="6" w:space="0" w:color="FFFFFF"/>
              <w:bottom w:val="single" w:sz="6" w:space="0" w:color="FFFFFF"/>
              <w:right w:val="single" w:sz="6" w:space="0" w:color="FFFFFF"/>
            </w:tcBorders>
            <w:shd w:val="clear" w:color="auto" w:fill="E7E7E7"/>
            <w:vAlign w:val="center"/>
            <w:hideMark/>
          </w:tcPr>
          <w:p w:rsidR="00A94724" w:rsidRDefault="00A94724" w:rsidP="00845FBD">
            <w:r>
              <w:t>External</w:t>
            </w:r>
          </w:p>
        </w:tc>
        <w:tc>
          <w:tcPr>
            <w:tcW w:w="1947" w:type="dxa"/>
            <w:tcBorders>
              <w:top w:val="single" w:sz="6" w:space="0" w:color="FFFFFF"/>
              <w:left w:val="single" w:sz="6" w:space="0" w:color="FFFFFF"/>
              <w:bottom w:val="single" w:sz="6" w:space="0" w:color="FFFFFF"/>
              <w:right w:val="single" w:sz="6" w:space="0" w:color="FFFFFF"/>
            </w:tcBorders>
            <w:shd w:val="clear" w:color="auto" w:fill="E7E7E7"/>
            <w:vAlign w:val="center"/>
            <w:hideMark/>
          </w:tcPr>
          <w:p w:rsidR="00A94724" w:rsidRDefault="00A94724" w:rsidP="00845FBD">
            <w:r>
              <w:t>Integrating Entity</w:t>
            </w:r>
          </w:p>
        </w:tc>
        <w:tc>
          <w:tcPr>
            <w:tcW w:w="4085" w:type="dxa"/>
            <w:tcBorders>
              <w:top w:val="single" w:sz="6" w:space="0" w:color="FFFFFF"/>
              <w:left w:val="single" w:sz="6" w:space="0" w:color="FFFFFF"/>
              <w:bottom w:val="single" w:sz="6" w:space="0" w:color="FFFFFF"/>
              <w:right w:val="single" w:sz="6" w:space="0" w:color="FFFFFF"/>
            </w:tcBorders>
            <w:shd w:val="clear" w:color="auto" w:fill="E7E7E7"/>
            <w:vAlign w:val="center"/>
            <w:hideMark/>
          </w:tcPr>
          <w:p w:rsidR="00A94724" w:rsidRDefault="00A94724" w:rsidP="00845FBD">
            <w:r>
              <w:t>Remove or Network Service*</w:t>
            </w:r>
          </w:p>
        </w:tc>
      </w:tr>
      <w:tr w:rsidR="00A94724" w:rsidTr="00845FBD">
        <w:trPr>
          <w:trHeight w:val="540"/>
          <w:tblCellSpacing w:w="0" w:type="dxa"/>
        </w:trPr>
        <w:tc>
          <w:tcPr>
            <w:tcW w:w="1813" w:type="dxa"/>
            <w:tcBorders>
              <w:top w:val="single" w:sz="6" w:space="0" w:color="FFFFFF"/>
              <w:left w:val="single" w:sz="6" w:space="0" w:color="FFFFFF"/>
              <w:bottom w:val="single" w:sz="12" w:space="0" w:color="000000"/>
              <w:right w:val="single" w:sz="6" w:space="0" w:color="FFFFFF"/>
            </w:tcBorders>
            <w:shd w:val="clear" w:color="auto" w:fill="CBCBCB"/>
            <w:vAlign w:val="center"/>
            <w:hideMark/>
          </w:tcPr>
          <w:p w:rsidR="00A94724" w:rsidRDefault="00A94724" w:rsidP="00845FBD">
            <w:r>
              <w:t>External</w:t>
            </w:r>
          </w:p>
        </w:tc>
        <w:tc>
          <w:tcPr>
            <w:tcW w:w="1947" w:type="dxa"/>
            <w:tcBorders>
              <w:top w:val="single" w:sz="6" w:space="0" w:color="FFFFFF"/>
              <w:left w:val="single" w:sz="6" w:space="0" w:color="FFFFFF"/>
              <w:bottom w:val="single" w:sz="12" w:space="0" w:color="000000"/>
              <w:right w:val="single" w:sz="6" w:space="0" w:color="FFFFFF"/>
            </w:tcBorders>
            <w:shd w:val="clear" w:color="auto" w:fill="CBCBCB"/>
            <w:vAlign w:val="center"/>
            <w:hideMark/>
          </w:tcPr>
          <w:p w:rsidR="00A94724" w:rsidRDefault="00A94724" w:rsidP="00845FBD">
            <w:r>
              <w:t>External</w:t>
            </w:r>
          </w:p>
        </w:tc>
        <w:tc>
          <w:tcPr>
            <w:tcW w:w="4085" w:type="dxa"/>
            <w:tcBorders>
              <w:top w:val="single" w:sz="6" w:space="0" w:color="FFFFFF"/>
              <w:left w:val="single" w:sz="6" w:space="0" w:color="FFFFFF"/>
              <w:bottom w:val="single" w:sz="12" w:space="0" w:color="000000"/>
              <w:right w:val="single" w:sz="6" w:space="0" w:color="FFFFFF"/>
            </w:tcBorders>
            <w:shd w:val="clear" w:color="auto" w:fill="CBCBCB"/>
            <w:vAlign w:val="center"/>
            <w:hideMark/>
          </w:tcPr>
          <w:p w:rsidR="00A94724" w:rsidRDefault="00A94724" w:rsidP="00845FBD">
            <w:r>
              <w:t>Point-to-Point Drive Through</w:t>
            </w:r>
          </w:p>
        </w:tc>
      </w:tr>
      <w:tr w:rsidR="00A94724" w:rsidTr="00845FBD">
        <w:trPr>
          <w:trHeight w:val="540"/>
          <w:tblCellSpacing w:w="0" w:type="dxa"/>
        </w:trPr>
        <w:tc>
          <w:tcPr>
            <w:tcW w:w="1813" w:type="dxa"/>
            <w:tcBorders>
              <w:top w:val="single" w:sz="12" w:space="0" w:color="000000"/>
              <w:left w:val="single" w:sz="6" w:space="0" w:color="FFFFFF"/>
              <w:bottom w:val="nil"/>
              <w:right w:val="single" w:sz="6" w:space="0" w:color="FFFFFF"/>
            </w:tcBorders>
            <w:shd w:val="clear" w:color="auto" w:fill="E7E7E7"/>
            <w:vAlign w:val="center"/>
            <w:hideMark/>
          </w:tcPr>
          <w:p w:rsidR="00A94724" w:rsidRDefault="00A94724" w:rsidP="00845FBD">
            <w:r>
              <w:t>MISO</w:t>
            </w:r>
          </w:p>
        </w:tc>
        <w:tc>
          <w:tcPr>
            <w:tcW w:w="1947" w:type="dxa"/>
            <w:tcBorders>
              <w:top w:val="single" w:sz="12" w:space="0" w:color="000000"/>
              <w:left w:val="single" w:sz="6" w:space="0" w:color="FFFFFF"/>
              <w:bottom w:val="nil"/>
              <w:right w:val="single" w:sz="6" w:space="0" w:color="FFFFFF"/>
            </w:tcBorders>
            <w:shd w:val="clear" w:color="auto" w:fill="E7E7E7"/>
            <w:vAlign w:val="center"/>
            <w:hideMark/>
          </w:tcPr>
          <w:p w:rsidR="00A94724" w:rsidRDefault="00A94724" w:rsidP="00845FBD">
            <w:r>
              <w:t>Integrating Entity</w:t>
            </w:r>
          </w:p>
        </w:tc>
        <w:tc>
          <w:tcPr>
            <w:tcW w:w="4085" w:type="dxa"/>
            <w:tcBorders>
              <w:top w:val="single" w:sz="12" w:space="0" w:color="000000"/>
              <w:left w:val="single" w:sz="6" w:space="0" w:color="FFFFFF"/>
              <w:bottom w:val="nil"/>
              <w:right w:val="single" w:sz="6" w:space="0" w:color="FFFFFF"/>
            </w:tcBorders>
            <w:shd w:val="clear" w:color="auto" w:fill="E7E7E7"/>
            <w:vAlign w:val="center"/>
            <w:hideMark/>
          </w:tcPr>
          <w:p w:rsidR="00A94724" w:rsidRDefault="00A94724" w:rsidP="00845FBD">
            <w:r>
              <w:t>Network Service*</w:t>
            </w:r>
          </w:p>
        </w:tc>
      </w:tr>
      <w:tr w:rsidR="00A94724" w:rsidTr="00845FBD">
        <w:trPr>
          <w:trHeight w:val="540"/>
          <w:tblCellSpacing w:w="0" w:type="dxa"/>
        </w:trPr>
        <w:tc>
          <w:tcPr>
            <w:tcW w:w="1813" w:type="dxa"/>
            <w:tcBorders>
              <w:top w:val="nil"/>
              <w:left w:val="single" w:sz="6" w:space="0" w:color="FFFFFF"/>
              <w:bottom w:val="single" w:sz="12" w:space="0" w:color="000000"/>
              <w:right w:val="single" w:sz="6" w:space="0" w:color="FFFFFF"/>
            </w:tcBorders>
            <w:shd w:val="clear" w:color="auto" w:fill="CBCBCB"/>
            <w:vAlign w:val="center"/>
            <w:hideMark/>
          </w:tcPr>
          <w:p w:rsidR="00A94724" w:rsidRDefault="00A94724" w:rsidP="00845FBD">
            <w:r>
              <w:t>MISO</w:t>
            </w:r>
          </w:p>
        </w:tc>
        <w:tc>
          <w:tcPr>
            <w:tcW w:w="1947" w:type="dxa"/>
            <w:tcBorders>
              <w:top w:val="nil"/>
              <w:left w:val="single" w:sz="6" w:space="0" w:color="FFFFFF"/>
              <w:bottom w:val="single" w:sz="12" w:space="0" w:color="000000"/>
              <w:right w:val="single" w:sz="6" w:space="0" w:color="FFFFFF"/>
            </w:tcBorders>
            <w:shd w:val="clear" w:color="auto" w:fill="CBCBCB"/>
            <w:vAlign w:val="center"/>
            <w:hideMark/>
          </w:tcPr>
          <w:p w:rsidR="00A94724" w:rsidRDefault="00A94724" w:rsidP="00845FBD">
            <w:r>
              <w:t>External</w:t>
            </w:r>
          </w:p>
        </w:tc>
        <w:tc>
          <w:tcPr>
            <w:tcW w:w="4085" w:type="dxa"/>
            <w:tcBorders>
              <w:top w:val="nil"/>
              <w:left w:val="single" w:sz="6" w:space="0" w:color="FFFFFF"/>
              <w:bottom w:val="single" w:sz="12" w:space="0" w:color="000000"/>
              <w:right w:val="single" w:sz="6" w:space="0" w:color="FFFFFF"/>
            </w:tcBorders>
            <w:shd w:val="clear" w:color="auto" w:fill="CBCBCB"/>
            <w:vAlign w:val="center"/>
            <w:hideMark/>
          </w:tcPr>
          <w:p w:rsidR="00A94724" w:rsidRDefault="00A94724" w:rsidP="00845FBD">
            <w:r>
              <w:t>Point-to-Point Drive Out</w:t>
            </w:r>
          </w:p>
        </w:tc>
      </w:tr>
      <w:tr w:rsidR="00A94724" w:rsidTr="00845FBD">
        <w:trPr>
          <w:trHeight w:val="540"/>
          <w:tblCellSpacing w:w="0" w:type="dxa"/>
        </w:trPr>
        <w:tc>
          <w:tcPr>
            <w:tcW w:w="1813" w:type="dxa"/>
            <w:tcBorders>
              <w:top w:val="single" w:sz="12" w:space="0" w:color="000000"/>
              <w:left w:val="single" w:sz="6" w:space="0" w:color="FFFFFF"/>
              <w:bottom w:val="single" w:sz="6" w:space="0" w:color="FFFFFF"/>
              <w:right w:val="single" w:sz="6" w:space="0" w:color="FFFFFF"/>
            </w:tcBorders>
            <w:shd w:val="clear" w:color="auto" w:fill="E7E7E7"/>
            <w:vAlign w:val="center"/>
            <w:hideMark/>
          </w:tcPr>
          <w:p w:rsidR="00A94724" w:rsidRDefault="00A94724" w:rsidP="00845FBD">
            <w:r>
              <w:t>Integrating Entity</w:t>
            </w:r>
          </w:p>
        </w:tc>
        <w:tc>
          <w:tcPr>
            <w:tcW w:w="1947" w:type="dxa"/>
            <w:tcBorders>
              <w:top w:val="single" w:sz="12" w:space="0" w:color="000000"/>
              <w:left w:val="single" w:sz="6" w:space="0" w:color="FFFFFF"/>
              <w:bottom w:val="single" w:sz="6" w:space="0" w:color="FFFFFF"/>
              <w:right w:val="single" w:sz="6" w:space="0" w:color="FFFFFF"/>
            </w:tcBorders>
            <w:shd w:val="clear" w:color="auto" w:fill="E7E7E7"/>
            <w:vAlign w:val="center"/>
            <w:hideMark/>
          </w:tcPr>
          <w:p w:rsidR="00A94724" w:rsidRDefault="00A94724" w:rsidP="00845FBD">
            <w:r>
              <w:t>MISO</w:t>
            </w:r>
          </w:p>
        </w:tc>
        <w:tc>
          <w:tcPr>
            <w:tcW w:w="4085" w:type="dxa"/>
            <w:tcBorders>
              <w:top w:val="single" w:sz="12" w:space="0" w:color="000000"/>
              <w:left w:val="single" w:sz="6" w:space="0" w:color="FFFFFF"/>
              <w:bottom w:val="single" w:sz="6" w:space="0" w:color="FFFFFF"/>
              <w:right w:val="single" w:sz="6" w:space="0" w:color="FFFFFF"/>
            </w:tcBorders>
            <w:shd w:val="clear" w:color="auto" w:fill="E7E7E7"/>
            <w:vAlign w:val="center"/>
            <w:hideMark/>
          </w:tcPr>
          <w:p w:rsidR="00A94724" w:rsidRDefault="00A94724" w:rsidP="00845FBD">
            <w:r>
              <w:t>Remove or Network Service*</w:t>
            </w:r>
          </w:p>
        </w:tc>
      </w:tr>
      <w:tr w:rsidR="00A94724" w:rsidTr="00845FBD">
        <w:trPr>
          <w:trHeight w:val="540"/>
          <w:tblCellSpacing w:w="0" w:type="dxa"/>
        </w:trPr>
        <w:tc>
          <w:tcPr>
            <w:tcW w:w="1813" w:type="dxa"/>
            <w:tcBorders>
              <w:top w:val="single" w:sz="6" w:space="0" w:color="FFFFFF"/>
              <w:left w:val="single" w:sz="6" w:space="0" w:color="FFFFFF"/>
              <w:bottom w:val="single" w:sz="6" w:space="0" w:color="FFFFFF"/>
              <w:right w:val="single" w:sz="6" w:space="0" w:color="FFFFFF"/>
            </w:tcBorders>
            <w:shd w:val="clear" w:color="auto" w:fill="CBCBCB"/>
            <w:vAlign w:val="center"/>
            <w:hideMark/>
          </w:tcPr>
          <w:p w:rsidR="00A94724" w:rsidRDefault="00A94724" w:rsidP="00845FBD">
            <w:r>
              <w:t>Integrating Entity</w:t>
            </w:r>
          </w:p>
        </w:tc>
        <w:tc>
          <w:tcPr>
            <w:tcW w:w="1947" w:type="dxa"/>
            <w:tcBorders>
              <w:top w:val="single" w:sz="6" w:space="0" w:color="FFFFFF"/>
              <w:left w:val="single" w:sz="6" w:space="0" w:color="FFFFFF"/>
              <w:bottom w:val="single" w:sz="6" w:space="0" w:color="FFFFFF"/>
              <w:right w:val="single" w:sz="6" w:space="0" w:color="FFFFFF"/>
            </w:tcBorders>
            <w:shd w:val="clear" w:color="auto" w:fill="CBCBCB"/>
            <w:vAlign w:val="center"/>
            <w:hideMark/>
          </w:tcPr>
          <w:p w:rsidR="00A94724" w:rsidRDefault="00A94724" w:rsidP="00845FBD">
            <w:r>
              <w:t>Integrating Entity</w:t>
            </w:r>
          </w:p>
        </w:tc>
        <w:tc>
          <w:tcPr>
            <w:tcW w:w="4085" w:type="dxa"/>
            <w:tcBorders>
              <w:top w:val="single" w:sz="6" w:space="0" w:color="FFFFFF"/>
              <w:left w:val="single" w:sz="6" w:space="0" w:color="FFFFFF"/>
              <w:bottom w:val="single" w:sz="6" w:space="0" w:color="FFFFFF"/>
              <w:right w:val="single" w:sz="6" w:space="0" w:color="FFFFFF"/>
            </w:tcBorders>
            <w:shd w:val="clear" w:color="auto" w:fill="CBCBCB"/>
            <w:vAlign w:val="center"/>
            <w:hideMark/>
          </w:tcPr>
          <w:p w:rsidR="00A94724" w:rsidRDefault="00A94724" w:rsidP="00845FBD">
            <w:r>
              <w:t>Remove or Network Service*</w:t>
            </w:r>
          </w:p>
        </w:tc>
      </w:tr>
      <w:tr w:rsidR="00A94724" w:rsidTr="00845FBD">
        <w:trPr>
          <w:trHeight w:val="540"/>
          <w:tblCellSpacing w:w="0" w:type="dxa"/>
        </w:trPr>
        <w:tc>
          <w:tcPr>
            <w:tcW w:w="1813" w:type="dxa"/>
            <w:tcBorders>
              <w:top w:val="single" w:sz="6" w:space="0" w:color="FFFFFF"/>
              <w:left w:val="single" w:sz="6" w:space="0" w:color="FFFFFF"/>
              <w:bottom w:val="single" w:sz="6" w:space="0" w:color="FFFFFF"/>
              <w:right w:val="single" w:sz="6" w:space="0" w:color="FFFFFF"/>
            </w:tcBorders>
            <w:shd w:val="clear" w:color="auto" w:fill="E7E7E7"/>
            <w:vAlign w:val="center"/>
            <w:hideMark/>
          </w:tcPr>
          <w:p w:rsidR="00A94724" w:rsidRDefault="00A94724" w:rsidP="00845FBD">
            <w:r>
              <w:t>Integrating Entity</w:t>
            </w:r>
          </w:p>
        </w:tc>
        <w:tc>
          <w:tcPr>
            <w:tcW w:w="1947" w:type="dxa"/>
            <w:tcBorders>
              <w:top w:val="single" w:sz="6" w:space="0" w:color="FFFFFF"/>
              <w:left w:val="single" w:sz="6" w:space="0" w:color="FFFFFF"/>
              <w:bottom w:val="single" w:sz="6" w:space="0" w:color="FFFFFF"/>
              <w:right w:val="single" w:sz="6" w:space="0" w:color="FFFFFF"/>
            </w:tcBorders>
            <w:shd w:val="clear" w:color="auto" w:fill="E7E7E7"/>
            <w:vAlign w:val="center"/>
            <w:hideMark/>
          </w:tcPr>
          <w:p w:rsidR="00A94724" w:rsidRDefault="00A94724" w:rsidP="00845FBD">
            <w:r>
              <w:t>External</w:t>
            </w:r>
          </w:p>
        </w:tc>
        <w:tc>
          <w:tcPr>
            <w:tcW w:w="4085" w:type="dxa"/>
            <w:tcBorders>
              <w:top w:val="single" w:sz="6" w:space="0" w:color="FFFFFF"/>
              <w:left w:val="single" w:sz="6" w:space="0" w:color="FFFFFF"/>
              <w:bottom w:val="single" w:sz="6" w:space="0" w:color="FFFFFF"/>
              <w:right w:val="single" w:sz="6" w:space="0" w:color="FFFFFF"/>
            </w:tcBorders>
            <w:shd w:val="clear" w:color="auto" w:fill="E7E7E7"/>
            <w:vAlign w:val="center"/>
            <w:hideMark/>
          </w:tcPr>
          <w:p w:rsidR="00A94724" w:rsidRDefault="00A94724" w:rsidP="00845FBD">
            <w:r>
              <w:t>Point-to-Point Drive Out</w:t>
            </w:r>
          </w:p>
        </w:tc>
      </w:tr>
    </w:tbl>
    <w:p w:rsidR="00A94724" w:rsidRDefault="00A94724" w:rsidP="00A94724">
      <w:pPr>
        <w:ind w:left="360"/>
      </w:pPr>
    </w:p>
    <w:p w:rsidR="00A94724" w:rsidRDefault="00A94724" w:rsidP="00A94724">
      <w:pPr>
        <w:ind w:left="360"/>
      </w:pPr>
    </w:p>
    <w:p w:rsidR="00A94724" w:rsidRDefault="00A94724" w:rsidP="00A94724">
      <w:pPr>
        <w:ind w:left="360"/>
      </w:pPr>
    </w:p>
    <w:p w:rsidR="00A94724" w:rsidRDefault="00A94724" w:rsidP="00A94724">
      <w:pPr>
        <w:ind w:left="360"/>
      </w:pPr>
    </w:p>
    <w:p w:rsidR="00A94724" w:rsidRDefault="00A94724" w:rsidP="00A94724">
      <w:pPr>
        <w:ind w:left="360"/>
      </w:pPr>
    </w:p>
    <w:p w:rsidR="00A94724" w:rsidRDefault="00A94724" w:rsidP="00A94724">
      <w:pPr>
        <w:ind w:left="360"/>
      </w:pPr>
    </w:p>
    <w:p w:rsidR="00A94724" w:rsidRDefault="00A94724" w:rsidP="00A94724">
      <w:pPr>
        <w:ind w:left="360"/>
      </w:pPr>
    </w:p>
    <w:p w:rsidR="00A94724" w:rsidRDefault="00A94724" w:rsidP="00A94724">
      <w:pPr>
        <w:ind w:left="360"/>
      </w:pPr>
    </w:p>
    <w:p w:rsidR="00A94724" w:rsidRDefault="00A94724" w:rsidP="00A94724">
      <w:pPr>
        <w:ind w:left="360"/>
      </w:pPr>
    </w:p>
    <w:p w:rsidR="00A94724" w:rsidRDefault="00A94724" w:rsidP="00A94724">
      <w:pPr>
        <w:ind w:left="360"/>
      </w:pPr>
    </w:p>
    <w:p w:rsidR="00A94724" w:rsidRDefault="00A94724" w:rsidP="00A94724">
      <w:pPr>
        <w:ind w:left="1440" w:firstLine="720"/>
      </w:pPr>
      <w:r>
        <w:rPr>
          <w:b/>
        </w:rPr>
        <w:t>*</w:t>
      </w:r>
      <w:r>
        <w:t>Point to Point is still an option, but not commonly chosen.</w:t>
      </w:r>
    </w:p>
    <w:p w:rsidR="00E74934" w:rsidRDefault="00E74934" w:rsidP="00E74934">
      <w:pPr>
        <w:ind w:left="360"/>
        <w:jc w:val="center"/>
      </w:pPr>
      <w:r>
        <w:rPr>
          <w:b/>
        </w:rPr>
        <w:t>SCHEDULING OF TRANSMISSION SERVICE</w:t>
      </w:r>
    </w:p>
    <w:p w:rsidR="003B2766" w:rsidRDefault="00E74934" w:rsidP="00263A07">
      <w:pPr>
        <w:pStyle w:val="ListParagraph"/>
        <w:numPr>
          <w:ilvl w:val="0"/>
          <w:numId w:val="7"/>
        </w:numPr>
      </w:pPr>
      <w:r>
        <w:t>Scheduling of transmission reservations</w:t>
      </w:r>
      <w:r w:rsidR="003B2766">
        <w:t xml:space="preserve"> for 12/19/2013 and beyond,</w:t>
      </w:r>
      <w:r>
        <w:t xml:space="preserve"> will be made available </w:t>
      </w:r>
      <w:r w:rsidR="00263A07">
        <w:t xml:space="preserve">on November </w:t>
      </w:r>
      <w:r w:rsidR="006E3E2A" w:rsidRPr="006E3E2A">
        <w:t>1</w:t>
      </w:r>
      <w:r w:rsidRPr="006E3E2A">
        <w:t>, 2013</w:t>
      </w:r>
      <w:r w:rsidR="003B2766">
        <w:t>.</w:t>
      </w:r>
      <w:r w:rsidR="00263A07">
        <w:rPr>
          <w:lang w:eastAsia="zh-CN"/>
        </w:rPr>
        <w:t xml:space="preserve"> </w:t>
      </w:r>
    </w:p>
    <w:p w:rsidR="00263A07" w:rsidRPr="00E74934" w:rsidRDefault="00E74934" w:rsidP="00263A07">
      <w:pPr>
        <w:pStyle w:val="ListParagraph"/>
        <w:numPr>
          <w:ilvl w:val="0"/>
          <w:numId w:val="7"/>
        </w:numPr>
      </w:pPr>
      <w:r>
        <w:t>Transactions (tags and schedules) involving ITC Mid-South transmission fa</w:t>
      </w:r>
      <w:r w:rsidR="009F4FFF">
        <w:t xml:space="preserve">cilities may not span </w:t>
      </w:r>
      <w:r w:rsidR="00335B7F" w:rsidRPr="0013499A">
        <w:t xml:space="preserve">across </w:t>
      </w:r>
      <w:r w:rsidR="009F4FFF" w:rsidRPr="0013499A">
        <w:t>00:00EST 12</w:t>
      </w:r>
      <w:r w:rsidRPr="0013499A">
        <w:t>/1</w:t>
      </w:r>
      <w:r w:rsidR="009F4FFF" w:rsidRPr="0013499A">
        <w:t>9</w:t>
      </w:r>
      <w:r w:rsidRPr="0013499A">
        <w:t>/2013.</w:t>
      </w:r>
      <w:r w:rsidR="00236FD8" w:rsidRPr="0013499A">
        <w:rPr>
          <w:rFonts w:hint="eastAsia"/>
          <w:color w:val="FF0000"/>
          <w:lang w:eastAsia="zh-CN"/>
        </w:rPr>
        <w:t xml:space="preserve"> </w:t>
      </w:r>
      <w:r w:rsidR="00263A07" w:rsidRPr="0013499A">
        <w:rPr>
          <w:lang w:eastAsia="zh-CN"/>
        </w:rPr>
        <w:t xml:space="preserve">Any customer with an E-Tag that is using a southern region TSR and spans </w:t>
      </w:r>
      <w:r w:rsidR="00335B7F" w:rsidRPr="0013499A">
        <w:rPr>
          <w:lang w:eastAsia="zh-CN"/>
        </w:rPr>
        <w:t xml:space="preserve">across </w:t>
      </w:r>
      <w:r w:rsidR="00263A07" w:rsidRPr="0013499A">
        <w:rPr>
          <w:lang w:eastAsia="zh-CN"/>
        </w:rPr>
        <w:t>the</w:t>
      </w:r>
      <w:r w:rsidR="00263A07">
        <w:rPr>
          <w:lang w:eastAsia="zh-CN"/>
        </w:rPr>
        <w:t xml:space="preserve"> integration date of 12/19/2013, must update their tag with new TSR AREF’s prior to market integration.</w:t>
      </w:r>
      <w:bookmarkStart w:id="0" w:name="_GoBack"/>
      <w:bookmarkEnd w:id="0"/>
    </w:p>
    <w:sectPr w:rsidR="00263A07" w:rsidRPr="00E74934" w:rsidSect="00E96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744"/>
    <w:multiLevelType w:val="hybridMultilevel"/>
    <w:tmpl w:val="B34AC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76F66"/>
    <w:multiLevelType w:val="hybridMultilevel"/>
    <w:tmpl w:val="D9A298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58070F"/>
    <w:multiLevelType w:val="hybridMultilevel"/>
    <w:tmpl w:val="FCAE3A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0772BB"/>
    <w:multiLevelType w:val="hybridMultilevel"/>
    <w:tmpl w:val="A344F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D56025"/>
    <w:multiLevelType w:val="hybridMultilevel"/>
    <w:tmpl w:val="72FA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CE3F95"/>
    <w:multiLevelType w:val="hybridMultilevel"/>
    <w:tmpl w:val="DC149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B81741"/>
    <w:multiLevelType w:val="hybridMultilevel"/>
    <w:tmpl w:val="C14288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9518EB"/>
    <w:rsid w:val="000114BF"/>
    <w:rsid w:val="0005661B"/>
    <w:rsid w:val="00111139"/>
    <w:rsid w:val="00124826"/>
    <w:rsid w:val="0013499A"/>
    <w:rsid w:val="00201D5A"/>
    <w:rsid w:val="00236FD8"/>
    <w:rsid w:val="00263A07"/>
    <w:rsid w:val="00335B7F"/>
    <w:rsid w:val="00353B73"/>
    <w:rsid w:val="00364C2C"/>
    <w:rsid w:val="003B2766"/>
    <w:rsid w:val="004B5D9D"/>
    <w:rsid w:val="004D41C0"/>
    <w:rsid w:val="004F730F"/>
    <w:rsid w:val="00581761"/>
    <w:rsid w:val="005A2E37"/>
    <w:rsid w:val="00614F9C"/>
    <w:rsid w:val="006B668F"/>
    <w:rsid w:val="006E3E2A"/>
    <w:rsid w:val="00771308"/>
    <w:rsid w:val="0079255D"/>
    <w:rsid w:val="007A4038"/>
    <w:rsid w:val="00854B9B"/>
    <w:rsid w:val="00862CA0"/>
    <w:rsid w:val="009518EB"/>
    <w:rsid w:val="009D4F04"/>
    <w:rsid w:val="009F21AC"/>
    <w:rsid w:val="009F4FFF"/>
    <w:rsid w:val="00A01625"/>
    <w:rsid w:val="00A94724"/>
    <w:rsid w:val="00B05B9F"/>
    <w:rsid w:val="00C256E6"/>
    <w:rsid w:val="00C57E77"/>
    <w:rsid w:val="00C66050"/>
    <w:rsid w:val="00D026A0"/>
    <w:rsid w:val="00D35854"/>
    <w:rsid w:val="00E17023"/>
    <w:rsid w:val="00E337C9"/>
    <w:rsid w:val="00E73278"/>
    <w:rsid w:val="00E74934"/>
    <w:rsid w:val="00E8495F"/>
    <w:rsid w:val="00E96508"/>
    <w:rsid w:val="00F46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8EB"/>
    <w:pPr>
      <w:ind w:left="720"/>
      <w:contextualSpacing/>
    </w:pPr>
  </w:style>
  <w:style w:type="character" w:styleId="CommentReference">
    <w:name w:val="annotation reference"/>
    <w:basedOn w:val="DefaultParagraphFont"/>
    <w:uiPriority w:val="99"/>
    <w:semiHidden/>
    <w:unhideWhenUsed/>
    <w:rsid w:val="00335B7F"/>
    <w:rPr>
      <w:sz w:val="16"/>
      <w:szCs w:val="16"/>
    </w:rPr>
  </w:style>
  <w:style w:type="paragraph" w:styleId="CommentText">
    <w:name w:val="annotation text"/>
    <w:basedOn w:val="Normal"/>
    <w:link w:val="CommentTextChar"/>
    <w:uiPriority w:val="99"/>
    <w:semiHidden/>
    <w:unhideWhenUsed/>
    <w:rsid w:val="00335B7F"/>
    <w:pPr>
      <w:spacing w:line="240" w:lineRule="auto"/>
    </w:pPr>
    <w:rPr>
      <w:sz w:val="20"/>
      <w:szCs w:val="20"/>
    </w:rPr>
  </w:style>
  <w:style w:type="character" w:customStyle="1" w:styleId="CommentTextChar">
    <w:name w:val="Comment Text Char"/>
    <w:basedOn w:val="DefaultParagraphFont"/>
    <w:link w:val="CommentText"/>
    <w:uiPriority w:val="99"/>
    <w:semiHidden/>
    <w:rsid w:val="00335B7F"/>
    <w:rPr>
      <w:sz w:val="20"/>
      <w:szCs w:val="20"/>
    </w:rPr>
  </w:style>
  <w:style w:type="paragraph" w:styleId="CommentSubject">
    <w:name w:val="annotation subject"/>
    <w:basedOn w:val="CommentText"/>
    <w:next w:val="CommentText"/>
    <w:link w:val="CommentSubjectChar"/>
    <w:uiPriority w:val="99"/>
    <w:semiHidden/>
    <w:unhideWhenUsed/>
    <w:rsid w:val="00335B7F"/>
    <w:rPr>
      <w:b/>
      <w:bCs/>
    </w:rPr>
  </w:style>
  <w:style w:type="character" w:customStyle="1" w:styleId="CommentSubjectChar">
    <w:name w:val="Comment Subject Char"/>
    <w:basedOn w:val="CommentTextChar"/>
    <w:link w:val="CommentSubject"/>
    <w:uiPriority w:val="99"/>
    <w:semiHidden/>
    <w:rsid w:val="00335B7F"/>
    <w:rPr>
      <w:b/>
      <w:bCs/>
      <w:sz w:val="20"/>
      <w:szCs w:val="20"/>
    </w:rPr>
  </w:style>
  <w:style w:type="paragraph" w:styleId="BalloonText">
    <w:name w:val="Balloon Text"/>
    <w:basedOn w:val="Normal"/>
    <w:link w:val="BalloonTextChar"/>
    <w:uiPriority w:val="99"/>
    <w:semiHidden/>
    <w:unhideWhenUsed/>
    <w:rsid w:val="00335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3422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Midwest ISO</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D Hines</dc:creator>
  <cp:lastModifiedBy>Trevor Hines</cp:lastModifiedBy>
  <cp:revision>2</cp:revision>
  <cp:lastPrinted>2013-05-03T12:36:00Z</cp:lastPrinted>
  <dcterms:created xsi:type="dcterms:W3CDTF">2013-06-24T13:57:00Z</dcterms:created>
  <dcterms:modified xsi:type="dcterms:W3CDTF">2013-06-24T13:57:00Z</dcterms:modified>
</cp:coreProperties>
</file>