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8BD" w:rsidRDefault="00DB78BD" w:rsidP="00DB78BD">
      <w:pPr>
        <w:jc w:val="center"/>
        <w:rPr>
          <w:rFonts w:ascii="Arial" w:hAnsi="Arial" w:cs="Arial"/>
        </w:rPr>
      </w:pPr>
      <w:r w:rsidRPr="00AB1FDC">
        <w:rPr>
          <w:rFonts w:ascii="Arial" w:hAnsi="Arial" w:cs="Arial"/>
        </w:rPr>
        <w:t>MISO TOs Annual Rate Update</w:t>
      </w:r>
    </w:p>
    <w:p w:rsidR="00AB1FDC" w:rsidRPr="00AB1FDC" w:rsidRDefault="00AB1FDC" w:rsidP="00AB1FDC">
      <w:pPr>
        <w:jc w:val="center"/>
        <w:rPr>
          <w:rFonts w:ascii="Arial" w:hAnsi="Arial" w:cs="Arial"/>
        </w:rPr>
      </w:pPr>
      <w:r w:rsidRPr="00AB1FDC">
        <w:rPr>
          <w:rFonts w:ascii="Arial" w:hAnsi="Arial" w:cs="Arial"/>
        </w:rPr>
        <w:t>For Rate Year Beginning June 1, 2016</w:t>
      </w:r>
    </w:p>
    <w:p w:rsidR="00DB78BD" w:rsidRPr="00AB1FDC" w:rsidRDefault="00DB78BD" w:rsidP="00DB78BD">
      <w:pPr>
        <w:jc w:val="center"/>
        <w:rPr>
          <w:rFonts w:ascii="Arial" w:hAnsi="Arial" w:cs="Arial"/>
        </w:rPr>
      </w:pPr>
      <w:bookmarkStart w:id="0" w:name="_GoBack"/>
      <w:bookmarkEnd w:id="0"/>
      <w:r w:rsidRPr="00AB1FDC">
        <w:rPr>
          <w:rFonts w:ascii="Arial" w:hAnsi="Arial" w:cs="Arial"/>
        </w:rPr>
        <w:t>Accounting Changes</w:t>
      </w:r>
    </w:p>
    <w:p w:rsidR="00DB78BD" w:rsidRPr="00AB1FDC" w:rsidRDefault="00DB78BD" w:rsidP="00DB78BD">
      <w:pPr>
        <w:jc w:val="center"/>
        <w:rPr>
          <w:rFonts w:ascii="Arial" w:hAnsi="Arial" w:cs="Arial"/>
        </w:rPr>
      </w:pPr>
    </w:p>
    <w:p w:rsidR="00DB78BD" w:rsidRPr="00AB1FDC" w:rsidRDefault="00DB78BD" w:rsidP="00DB78BD">
      <w:pPr>
        <w:jc w:val="center"/>
        <w:rPr>
          <w:rFonts w:ascii="Arial" w:hAnsi="Arial" w:cs="Arial"/>
        </w:rPr>
      </w:pPr>
    </w:p>
    <w:tbl>
      <w:tblPr>
        <w:tblStyle w:val="TableGrid"/>
        <w:tblW w:w="0" w:type="auto"/>
        <w:tblLook w:val="04A0" w:firstRow="1" w:lastRow="0" w:firstColumn="1" w:lastColumn="0" w:noHBand="0" w:noVBand="1"/>
      </w:tblPr>
      <w:tblGrid>
        <w:gridCol w:w="1728"/>
        <w:gridCol w:w="4788"/>
      </w:tblGrid>
      <w:tr w:rsidR="00DB78BD" w:rsidRPr="00AB1FDC" w:rsidTr="00DB78BD">
        <w:tc>
          <w:tcPr>
            <w:tcW w:w="1728" w:type="dxa"/>
          </w:tcPr>
          <w:p w:rsidR="00DB78BD" w:rsidRPr="00AB1FDC" w:rsidRDefault="00DB78BD" w:rsidP="00DB78BD">
            <w:pPr>
              <w:rPr>
                <w:rFonts w:ascii="Arial" w:hAnsi="Arial" w:cs="Arial"/>
              </w:rPr>
            </w:pPr>
            <w:r w:rsidRPr="00AB1FDC">
              <w:rPr>
                <w:rFonts w:ascii="Arial" w:hAnsi="Arial" w:cs="Arial"/>
              </w:rPr>
              <w:t>Company:</w:t>
            </w:r>
          </w:p>
        </w:tc>
        <w:tc>
          <w:tcPr>
            <w:tcW w:w="4788" w:type="dxa"/>
          </w:tcPr>
          <w:p w:rsidR="00DB78BD" w:rsidRPr="00AB1FDC" w:rsidRDefault="00DB78BD" w:rsidP="009E3A4E">
            <w:pPr>
              <w:rPr>
                <w:rFonts w:ascii="Arial" w:hAnsi="Arial" w:cs="Arial"/>
              </w:rPr>
            </w:pPr>
            <w:r w:rsidRPr="00AB1FDC">
              <w:rPr>
                <w:rFonts w:ascii="Arial" w:hAnsi="Arial" w:cs="Arial"/>
              </w:rPr>
              <w:t>Entergy Services</w:t>
            </w:r>
            <w:r w:rsidR="00E32348" w:rsidRPr="00AB1FDC">
              <w:rPr>
                <w:rFonts w:ascii="Arial" w:hAnsi="Arial" w:cs="Arial"/>
              </w:rPr>
              <w:t xml:space="preserve"> </w:t>
            </w:r>
            <w:r w:rsidR="009E3A4E" w:rsidRPr="00AB1FDC">
              <w:rPr>
                <w:rFonts w:ascii="Arial" w:hAnsi="Arial" w:cs="Arial"/>
              </w:rPr>
              <w:t>(“ESI”)</w:t>
            </w:r>
            <w:r w:rsidR="00E32348" w:rsidRPr="00AB1FDC">
              <w:rPr>
                <w:rFonts w:ascii="Arial" w:hAnsi="Arial" w:cs="Arial"/>
              </w:rPr>
              <w:t xml:space="preserve"> on behalf of EAI, </w:t>
            </w:r>
            <w:r w:rsidR="007E08B5" w:rsidRPr="00AB1FDC">
              <w:rPr>
                <w:rFonts w:ascii="Arial" w:hAnsi="Arial" w:cs="Arial"/>
              </w:rPr>
              <w:t>ELL</w:t>
            </w:r>
            <w:r w:rsidR="00E32348" w:rsidRPr="00AB1FDC">
              <w:rPr>
                <w:rFonts w:ascii="Arial" w:hAnsi="Arial" w:cs="Arial"/>
              </w:rPr>
              <w:t>*</w:t>
            </w:r>
            <w:r w:rsidR="007E08B5" w:rsidRPr="00AB1FDC">
              <w:rPr>
                <w:rFonts w:ascii="Arial" w:hAnsi="Arial" w:cs="Arial"/>
              </w:rPr>
              <w:t xml:space="preserve">, EMI, ENOI, and </w:t>
            </w:r>
            <w:r w:rsidRPr="00AB1FDC">
              <w:rPr>
                <w:rFonts w:ascii="Arial" w:hAnsi="Arial" w:cs="Arial"/>
              </w:rPr>
              <w:t>ETI</w:t>
            </w:r>
          </w:p>
        </w:tc>
      </w:tr>
      <w:tr w:rsidR="00DB78BD" w:rsidRPr="00AB1FDC" w:rsidTr="00DB78BD">
        <w:tc>
          <w:tcPr>
            <w:tcW w:w="1728" w:type="dxa"/>
          </w:tcPr>
          <w:p w:rsidR="00DB78BD" w:rsidRPr="00AB1FDC" w:rsidRDefault="00DB78BD" w:rsidP="00DB78BD">
            <w:pPr>
              <w:rPr>
                <w:rFonts w:ascii="Arial" w:hAnsi="Arial" w:cs="Arial"/>
              </w:rPr>
            </w:pPr>
            <w:r w:rsidRPr="00AB1FDC">
              <w:rPr>
                <w:rFonts w:ascii="Arial" w:hAnsi="Arial" w:cs="Arial"/>
              </w:rPr>
              <w:t>Test Year:</w:t>
            </w:r>
          </w:p>
        </w:tc>
        <w:tc>
          <w:tcPr>
            <w:tcW w:w="4788" w:type="dxa"/>
          </w:tcPr>
          <w:p w:rsidR="00DB78BD" w:rsidRPr="00AB1FDC" w:rsidRDefault="0013666E" w:rsidP="00DB78BD">
            <w:pPr>
              <w:rPr>
                <w:rFonts w:ascii="Arial" w:hAnsi="Arial" w:cs="Arial"/>
              </w:rPr>
            </w:pPr>
            <w:r w:rsidRPr="00AB1FDC">
              <w:rPr>
                <w:rFonts w:ascii="Arial" w:hAnsi="Arial" w:cs="Arial"/>
              </w:rPr>
              <w:t>December 2015</w:t>
            </w:r>
          </w:p>
        </w:tc>
      </w:tr>
    </w:tbl>
    <w:p w:rsidR="00DB78BD" w:rsidRPr="00AB1FDC" w:rsidRDefault="00DB78BD" w:rsidP="00DB78BD">
      <w:pPr>
        <w:rPr>
          <w:rFonts w:ascii="Arial" w:hAnsi="Arial" w:cs="Arial"/>
        </w:rPr>
      </w:pPr>
    </w:p>
    <w:p w:rsidR="00DB78BD" w:rsidRPr="00AB1FDC" w:rsidRDefault="00DB78BD" w:rsidP="00DB78BD">
      <w:pPr>
        <w:autoSpaceDE w:val="0"/>
        <w:autoSpaceDN w:val="0"/>
        <w:adjustRightInd w:val="0"/>
        <w:ind w:left="630" w:hanging="630"/>
        <w:jc w:val="both"/>
        <w:rPr>
          <w:rFonts w:ascii="Arial" w:hAnsi="Arial" w:cs="Arial"/>
          <w:szCs w:val="24"/>
        </w:rPr>
      </w:pPr>
      <w:r w:rsidRPr="00AB1FDC">
        <w:rPr>
          <w:rFonts w:ascii="Arial" w:hAnsi="Arial" w:cs="Arial"/>
          <w:szCs w:val="24"/>
        </w:rPr>
        <w:t>II.D.8.</w:t>
      </w:r>
      <w:r w:rsidRPr="00AB1FDC">
        <w:rPr>
          <w:rFonts w:ascii="Arial" w:hAnsi="Arial" w:cs="Arial"/>
          <w:szCs w:val="24"/>
        </w:rPr>
        <w:tab/>
        <w:t>With respect to any change in accounting that affects inputs to the formula rate or the resulting charges billed under the formula rate (“Accounting Change”):</w:t>
      </w:r>
    </w:p>
    <w:p w:rsidR="00DB78BD" w:rsidRPr="00AB1FDC" w:rsidRDefault="004666CE" w:rsidP="004666CE">
      <w:pPr>
        <w:ind w:left="630"/>
        <w:rPr>
          <w:rFonts w:ascii="Arial" w:hAnsi="Arial" w:cs="Arial"/>
        </w:rPr>
      </w:pPr>
      <w:r w:rsidRPr="00AB1FDC">
        <w:rPr>
          <w:rFonts w:ascii="Arial" w:hAnsi="Arial" w:cs="Arial"/>
          <w:szCs w:val="24"/>
        </w:rPr>
        <w:t>a.</w:t>
      </w:r>
      <w:r w:rsidRPr="00AB1FDC">
        <w:rPr>
          <w:rFonts w:ascii="Arial" w:hAnsi="Arial" w:cs="Arial"/>
          <w:szCs w:val="24"/>
        </w:rPr>
        <w:tab/>
        <w:t>Identify any Accounting Changes, including</w:t>
      </w:r>
    </w:p>
    <w:p w:rsidR="00DB78BD" w:rsidRPr="00AB1FDC" w:rsidRDefault="00DB78BD" w:rsidP="00DB78BD">
      <w:pPr>
        <w:rPr>
          <w:rFonts w:ascii="Arial" w:hAnsi="Arial" w:cs="Arial"/>
        </w:rPr>
      </w:pPr>
    </w:p>
    <w:tbl>
      <w:tblPr>
        <w:tblStyle w:val="TableGrid"/>
        <w:tblW w:w="8010" w:type="dxa"/>
        <w:tblInd w:w="1548" w:type="dxa"/>
        <w:tblLook w:val="04A0" w:firstRow="1" w:lastRow="0" w:firstColumn="1" w:lastColumn="0" w:noHBand="0" w:noVBand="1"/>
      </w:tblPr>
      <w:tblGrid>
        <w:gridCol w:w="741"/>
        <w:gridCol w:w="7269"/>
      </w:tblGrid>
      <w:tr w:rsidR="004666CE" w:rsidRPr="00AB1FDC" w:rsidTr="00471EC9">
        <w:tc>
          <w:tcPr>
            <w:tcW w:w="741" w:type="dxa"/>
            <w:shd w:val="clear" w:color="auto" w:fill="D9D9D9" w:themeFill="background1" w:themeFillShade="D9"/>
          </w:tcPr>
          <w:p w:rsidR="004666CE" w:rsidRPr="00AB1FDC" w:rsidRDefault="00783AB0" w:rsidP="00DB78BD">
            <w:pPr>
              <w:rPr>
                <w:rFonts w:ascii="Arial" w:hAnsi="Arial" w:cs="Arial"/>
              </w:rPr>
            </w:pPr>
            <w:r w:rsidRPr="00AB1FDC">
              <w:rPr>
                <w:rFonts w:ascii="Arial" w:hAnsi="Arial" w:cs="Arial"/>
                <w:szCs w:val="24"/>
              </w:rPr>
              <w:t>i.</w:t>
            </w:r>
          </w:p>
        </w:tc>
        <w:tc>
          <w:tcPr>
            <w:tcW w:w="7269" w:type="dxa"/>
            <w:shd w:val="clear" w:color="auto" w:fill="D9D9D9" w:themeFill="background1" w:themeFillShade="D9"/>
          </w:tcPr>
          <w:p w:rsidR="004666CE" w:rsidRPr="00AB1FDC" w:rsidRDefault="00783AB0" w:rsidP="00DB78BD">
            <w:pPr>
              <w:rPr>
                <w:rFonts w:ascii="Arial" w:hAnsi="Arial" w:cs="Arial"/>
              </w:rPr>
            </w:pPr>
            <w:r w:rsidRPr="00AB1FDC">
              <w:rPr>
                <w:rFonts w:ascii="Arial" w:hAnsi="Arial" w:cs="Arial"/>
                <w:szCs w:val="24"/>
              </w:rPr>
              <w:t>The initial implementation of an accounting standard or policy</w:t>
            </w:r>
          </w:p>
        </w:tc>
      </w:tr>
      <w:tr w:rsidR="00783AB0" w:rsidRPr="00AB1FDC" w:rsidTr="00471EC9">
        <w:tc>
          <w:tcPr>
            <w:tcW w:w="741" w:type="dxa"/>
            <w:tcBorders>
              <w:bottom w:val="single" w:sz="4" w:space="0" w:color="auto"/>
            </w:tcBorders>
          </w:tcPr>
          <w:p w:rsidR="00783AB0" w:rsidRPr="00AB1FDC" w:rsidRDefault="00783AB0" w:rsidP="00DB78BD">
            <w:pPr>
              <w:rPr>
                <w:rFonts w:ascii="Arial" w:hAnsi="Arial" w:cs="Arial"/>
                <w:szCs w:val="24"/>
              </w:rPr>
            </w:pPr>
          </w:p>
        </w:tc>
        <w:tc>
          <w:tcPr>
            <w:tcW w:w="7269" w:type="dxa"/>
            <w:tcBorders>
              <w:bottom w:val="single" w:sz="4" w:space="0" w:color="auto"/>
            </w:tcBorders>
          </w:tcPr>
          <w:p w:rsidR="00783AB0" w:rsidRPr="00AB1FDC" w:rsidRDefault="0015048D" w:rsidP="0013666E">
            <w:pPr>
              <w:pStyle w:val="ListParagraph"/>
              <w:numPr>
                <w:ilvl w:val="0"/>
                <w:numId w:val="1"/>
              </w:numPr>
              <w:rPr>
                <w:rFonts w:ascii="Arial" w:hAnsi="Arial" w:cs="Arial"/>
                <w:szCs w:val="24"/>
              </w:rPr>
            </w:pPr>
            <w:r w:rsidRPr="00AB1FDC">
              <w:rPr>
                <w:rFonts w:ascii="Arial" w:hAnsi="Arial" w:cs="Arial"/>
                <w:szCs w:val="24"/>
              </w:rPr>
              <w:t>In the fourth quarter 2015, Entergy adopted ASU NO. 2015-03 “Interest-Imputation of Interest (Subtopic 835-30): Simplifying the Presentation of Debt Issuance Costs” and ASU No. 2015-15 “Interest-Imputation of Interest (Subtopic 835-30): Presentation of Subsequent Measurement of Debt Issuance Costs Associated with Line-of-Credit Arrangements.”</w:t>
            </w:r>
            <w:r w:rsidR="0013666E" w:rsidRPr="00AB1FDC">
              <w:rPr>
                <w:rFonts w:ascii="Arial" w:hAnsi="Arial" w:cs="Arial"/>
                <w:szCs w:val="24"/>
              </w:rPr>
              <w:t xml:space="preserve">  These implementations did not alter the FERC accounts that debt issuance costs are recorded in.</w:t>
            </w:r>
          </w:p>
        </w:tc>
      </w:tr>
      <w:tr w:rsidR="004666CE" w:rsidRPr="00AB1FDC" w:rsidTr="00471EC9">
        <w:tc>
          <w:tcPr>
            <w:tcW w:w="741" w:type="dxa"/>
            <w:shd w:val="clear" w:color="auto" w:fill="D9D9D9" w:themeFill="background1" w:themeFillShade="D9"/>
          </w:tcPr>
          <w:p w:rsidR="004666CE" w:rsidRPr="00AB1FDC" w:rsidRDefault="00783AB0" w:rsidP="00DB78BD">
            <w:pPr>
              <w:rPr>
                <w:rFonts w:ascii="Arial" w:hAnsi="Arial" w:cs="Arial"/>
                <w:szCs w:val="24"/>
              </w:rPr>
            </w:pPr>
            <w:r w:rsidRPr="00AB1FDC">
              <w:rPr>
                <w:rFonts w:ascii="Arial" w:hAnsi="Arial" w:cs="Arial"/>
                <w:szCs w:val="24"/>
              </w:rPr>
              <w:t>ii.</w:t>
            </w:r>
          </w:p>
        </w:tc>
        <w:tc>
          <w:tcPr>
            <w:tcW w:w="7269" w:type="dxa"/>
            <w:shd w:val="clear" w:color="auto" w:fill="D9D9D9" w:themeFill="background1" w:themeFillShade="D9"/>
          </w:tcPr>
          <w:p w:rsidR="004666CE" w:rsidRPr="00AB1FDC" w:rsidRDefault="00783AB0" w:rsidP="00783AB0">
            <w:pPr>
              <w:rPr>
                <w:rFonts w:ascii="Arial" w:hAnsi="Arial" w:cs="Arial"/>
                <w:szCs w:val="24"/>
              </w:rPr>
            </w:pPr>
            <w:r w:rsidRPr="00AB1FDC">
              <w:rPr>
                <w:rFonts w:ascii="Arial" w:hAnsi="Arial" w:cs="Arial"/>
                <w:szCs w:val="24"/>
              </w:rPr>
              <w:t>The initial implementation of accounting practices for unusual or unconventional items where FERC has not provided specific accounting direction</w:t>
            </w:r>
          </w:p>
        </w:tc>
      </w:tr>
      <w:tr w:rsidR="00783AB0" w:rsidRPr="00AB1FDC" w:rsidTr="00471EC9">
        <w:tc>
          <w:tcPr>
            <w:tcW w:w="741" w:type="dxa"/>
            <w:tcBorders>
              <w:bottom w:val="single" w:sz="4" w:space="0" w:color="auto"/>
            </w:tcBorders>
          </w:tcPr>
          <w:p w:rsidR="00783AB0" w:rsidRPr="00AB1FDC" w:rsidRDefault="00783AB0" w:rsidP="00DB78BD">
            <w:pPr>
              <w:rPr>
                <w:rFonts w:ascii="Arial" w:hAnsi="Arial" w:cs="Arial"/>
              </w:rPr>
            </w:pPr>
          </w:p>
        </w:tc>
        <w:tc>
          <w:tcPr>
            <w:tcW w:w="7269" w:type="dxa"/>
            <w:tcBorders>
              <w:bottom w:val="single" w:sz="4" w:space="0" w:color="auto"/>
            </w:tcBorders>
          </w:tcPr>
          <w:p w:rsidR="00426A13" w:rsidRPr="00AB1FDC" w:rsidRDefault="0015048D" w:rsidP="0015048D">
            <w:pPr>
              <w:pStyle w:val="ListParagraph"/>
              <w:numPr>
                <w:ilvl w:val="0"/>
                <w:numId w:val="1"/>
              </w:numPr>
              <w:rPr>
                <w:rFonts w:ascii="Arial" w:hAnsi="Arial" w:cs="Arial"/>
                <w:szCs w:val="24"/>
              </w:rPr>
            </w:pPr>
            <w:r w:rsidRPr="00AB1FDC">
              <w:rPr>
                <w:rFonts w:ascii="Arial" w:hAnsi="Arial" w:cs="Arial"/>
                <w:szCs w:val="24"/>
              </w:rPr>
              <w:t>None for 2015.</w:t>
            </w:r>
          </w:p>
        </w:tc>
      </w:tr>
      <w:tr w:rsidR="004666CE" w:rsidRPr="00AB1FDC" w:rsidTr="00471EC9">
        <w:tc>
          <w:tcPr>
            <w:tcW w:w="741" w:type="dxa"/>
            <w:shd w:val="clear" w:color="auto" w:fill="D9D9D9" w:themeFill="background1" w:themeFillShade="D9"/>
          </w:tcPr>
          <w:p w:rsidR="004666CE" w:rsidRPr="00AB1FDC" w:rsidRDefault="00783AB0" w:rsidP="00DB78BD">
            <w:pPr>
              <w:rPr>
                <w:rFonts w:ascii="Arial" w:hAnsi="Arial" w:cs="Arial"/>
              </w:rPr>
            </w:pPr>
            <w:r w:rsidRPr="00AB1FDC">
              <w:rPr>
                <w:rFonts w:ascii="Arial" w:hAnsi="Arial" w:cs="Arial"/>
              </w:rPr>
              <w:t>iii.</w:t>
            </w:r>
          </w:p>
        </w:tc>
        <w:tc>
          <w:tcPr>
            <w:tcW w:w="7269" w:type="dxa"/>
            <w:shd w:val="clear" w:color="auto" w:fill="D9D9D9" w:themeFill="background1" w:themeFillShade="D9"/>
          </w:tcPr>
          <w:p w:rsidR="004666CE" w:rsidRPr="00AB1FDC" w:rsidRDefault="00783AB0" w:rsidP="00DB78BD">
            <w:pPr>
              <w:rPr>
                <w:rFonts w:ascii="Arial" w:hAnsi="Arial" w:cs="Arial"/>
              </w:rPr>
            </w:pPr>
            <w:r w:rsidRPr="00AB1FDC">
              <w:rPr>
                <w:rFonts w:ascii="Arial" w:hAnsi="Arial" w:cs="Arial"/>
                <w:szCs w:val="24"/>
              </w:rPr>
              <w:t>Correction of errors and prior period adjustments that impact the revenue requirement</w:t>
            </w:r>
          </w:p>
        </w:tc>
      </w:tr>
      <w:tr w:rsidR="00783AB0" w:rsidRPr="00AB1FDC" w:rsidTr="00471EC9">
        <w:tc>
          <w:tcPr>
            <w:tcW w:w="741" w:type="dxa"/>
            <w:tcBorders>
              <w:bottom w:val="single" w:sz="4" w:space="0" w:color="auto"/>
            </w:tcBorders>
          </w:tcPr>
          <w:p w:rsidR="00783AB0" w:rsidRPr="00AB1FDC" w:rsidRDefault="00783AB0" w:rsidP="00DB78BD">
            <w:pPr>
              <w:rPr>
                <w:rFonts w:ascii="Arial" w:hAnsi="Arial" w:cs="Arial"/>
              </w:rPr>
            </w:pPr>
          </w:p>
        </w:tc>
        <w:tc>
          <w:tcPr>
            <w:tcW w:w="7269" w:type="dxa"/>
            <w:tcBorders>
              <w:bottom w:val="single" w:sz="4" w:space="0" w:color="auto"/>
            </w:tcBorders>
          </w:tcPr>
          <w:p w:rsidR="00783AB0" w:rsidRPr="00AB1FDC" w:rsidRDefault="0015048D" w:rsidP="00FC6D82">
            <w:pPr>
              <w:pStyle w:val="ListParagraph"/>
              <w:numPr>
                <w:ilvl w:val="0"/>
                <w:numId w:val="1"/>
              </w:numPr>
              <w:rPr>
                <w:rFonts w:ascii="Arial" w:hAnsi="Arial" w:cs="Arial"/>
                <w:szCs w:val="24"/>
              </w:rPr>
            </w:pPr>
            <w:r w:rsidRPr="00AB1FDC">
              <w:rPr>
                <w:rFonts w:ascii="Arial" w:hAnsi="Arial" w:cs="Arial"/>
                <w:szCs w:val="24"/>
              </w:rPr>
              <w:t>None for 2015.</w:t>
            </w:r>
          </w:p>
        </w:tc>
      </w:tr>
      <w:tr w:rsidR="00783AB0" w:rsidRPr="00AB1FDC" w:rsidTr="00471EC9">
        <w:tc>
          <w:tcPr>
            <w:tcW w:w="741" w:type="dxa"/>
            <w:shd w:val="clear" w:color="auto" w:fill="D9D9D9" w:themeFill="background1" w:themeFillShade="D9"/>
          </w:tcPr>
          <w:p w:rsidR="00783AB0" w:rsidRPr="00AB1FDC" w:rsidRDefault="00783AB0" w:rsidP="00DB78BD">
            <w:pPr>
              <w:rPr>
                <w:rFonts w:ascii="Arial" w:hAnsi="Arial" w:cs="Arial"/>
              </w:rPr>
            </w:pPr>
            <w:r w:rsidRPr="00AB1FDC">
              <w:rPr>
                <w:rFonts w:ascii="Arial" w:hAnsi="Arial" w:cs="Arial"/>
              </w:rPr>
              <w:t>iv.</w:t>
            </w:r>
          </w:p>
        </w:tc>
        <w:tc>
          <w:tcPr>
            <w:tcW w:w="7269" w:type="dxa"/>
            <w:shd w:val="clear" w:color="auto" w:fill="D9D9D9" w:themeFill="background1" w:themeFillShade="D9"/>
          </w:tcPr>
          <w:p w:rsidR="00783AB0" w:rsidRPr="00AB1FDC" w:rsidRDefault="00783AB0" w:rsidP="00783AB0">
            <w:pPr>
              <w:rPr>
                <w:rFonts w:ascii="Arial" w:hAnsi="Arial" w:cs="Arial"/>
                <w:szCs w:val="24"/>
              </w:rPr>
            </w:pPr>
            <w:r w:rsidRPr="00AB1FDC">
              <w:rPr>
                <w:rFonts w:ascii="Arial" w:hAnsi="Arial" w:cs="Arial"/>
                <w:szCs w:val="24"/>
              </w:rPr>
              <w:t>The implementation of new estimation methods or policies that change prior estimates</w:t>
            </w:r>
          </w:p>
        </w:tc>
      </w:tr>
      <w:tr w:rsidR="00783AB0" w:rsidRPr="00AB1FDC" w:rsidTr="00471EC9">
        <w:tc>
          <w:tcPr>
            <w:tcW w:w="741" w:type="dxa"/>
            <w:tcBorders>
              <w:bottom w:val="single" w:sz="4" w:space="0" w:color="auto"/>
            </w:tcBorders>
          </w:tcPr>
          <w:p w:rsidR="00783AB0" w:rsidRPr="00AB1FDC" w:rsidRDefault="00783AB0" w:rsidP="00DB78BD">
            <w:pPr>
              <w:rPr>
                <w:rFonts w:ascii="Arial" w:hAnsi="Arial" w:cs="Arial"/>
              </w:rPr>
            </w:pPr>
          </w:p>
        </w:tc>
        <w:tc>
          <w:tcPr>
            <w:tcW w:w="7269" w:type="dxa"/>
            <w:tcBorders>
              <w:bottom w:val="single" w:sz="4" w:space="0" w:color="auto"/>
            </w:tcBorders>
          </w:tcPr>
          <w:p w:rsidR="0015048D" w:rsidRPr="00AB1FDC" w:rsidRDefault="0015048D" w:rsidP="0015048D">
            <w:pPr>
              <w:pStyle w:val="ListParagraph"/>
              <w:numPr>
                <w:ilvl w:val="0"/>
                <w:numId w:val="1"/>
              </w:numPr>
              <w:rPr>
                <w:rFonts w:ascii="Arial" w:hAnsi="Arial" w:cs="Arial"/>
              </w:rPr>
            </w:pPr>
            <w:r w:rsidRPr="00AB1FDC">
              <w:rPr>
                <w:rFonts w:ascii="Arial" w:hAnsi="Arial" w:cs="Arial"/>
              </w:rPr>
              <w:t xml:space="preserve">In 2015, </w:t>
            </w:r>
            <w:smartTag w:uri="urn:schemas-microsoft-com:office:smarttags" w:element="stockticker">
              <w:r w:rsidRPr="00AB1FDC">
                <w:rPr>
                  <w:rFonts w:ascii="Arial" w:hAnsi="Arial" w:cs="Arial"/>
                </w:rPr>
                <w:t>ESI</w:t>
              </w:r>
            </w:smartTag>
            <w:r w:rsidRPr="00AB1FDC">
              <w:rPr>
                <w:rFonts w:ascii="Arial" w:hAnsi="Arial" w:cs="Arial"/>
              </w:rPr>
              <w:t xml:space="preserve"> changed the accounting for costs incurred for Entergy New Orleans’ (ENO) Energy Smart Program.  The costs are being expensed to Account 908, Customer assistance expenses, consistent with other energy efficiency programs.  Prior to this change, the Energy Smart Program costs were amortized against the bandwidth regulatory liability.  Consistent with a directive from its retail regulator, ENO is applying previously received bandwidth remedy payments to its Energy Smart Program.  While ESI is continuing to apply the remedy payments to the Energy Smart Program costs consistent with the Council’s directive, it has modified the accounting to properly amortize the bandwidth regulatory liability consistent with the FERC </w:t>
            </w:r>
            <w:proofErr w:type="spellStart"/>
            <w:r w:rsidRPr="00AB1FDC">
              <w:rPr>
                <w:rFonts w:ascii="Arial" w:hAnsi="Arial" w:cs="Arial"/>
              </w:rPr>
              <w:t>USoA</w:t>
            </w:r>
            <w:proofErr w:type="spellEnd"/>
            <w:r w:rsidRPr="00AB1FDC">
              <w:rPr>
                <w:rFonts w:ascii="Arial" w:hAnsi="Arial" w:cs="Arial"/>
              </w:rPr>
              <w:t>.</w:t>
            </w:r>
          </w:p>
          <w:p w:rsidR="0015048D" w:rsidRPr="00AB1FDC" w:rsidRDefault="0015048D" w:rsidP="0015048D">
            <w:pPr>
              <w:ind w:firstLine="720"/>
              <w:rPr>
                <w:rFonts w:ascii="Arial" w:hAnsi="Arial" w:cs="Arial"/>
              </w:rPr>
            </w:pPr>
          </w:p>
          <w:p w:rsidR="0015048D" w:rsidRPr="00AB1FDC" w:rsidRDefault="0015048D" w:rsidP="0015048D">
            <w:pPr>
              <w:ind w:firstLine="720"/>
              <w:rPr>
                <w:rFonts w:ascii="Arial" w:hAnsi="Arial" w:cs="Arial"/>
              </w:rPr>
            </w:pPr>
            <w:r w:rsidRPr="00AB1FDC">
              <w:rPr>
                <w:rFonts w:ascii="Arial" w:hAnsi="Arial" w:cs="Arial"/>
              </w:rPr>
              <w:t>The accounting change resulted in the following for 2015:</w:t>
            </w:r>
          </w:p>
          <w:p w:rsidR="0015048D" w:rsidRPr="00AB1FDC" w:rsidRDefault="0015048D" w:rsidP="0015048D">
            <w:pPr>
              <w:ind w:firstLine="720"/>
              <w:rPr>
                <w:rFonts w:ascii="Arial" w:hAnsi="Arial" w:cs="Arial"/>
              </w:rPr>
            </w:pPr>
            <w:r w:rsidRPr="00AB1FDC">
              <w:rPr>
                <w:rFonts w:ascii="Arial" w:hAnsi="Arial" w:cs="Arial"/>
              </w:rPr>
              <w:t>Account 908  $3,592,257</w:t>
            </w:r>
          </w:p>
          <w:p w:rsidR="0015048D" w:rsidRPr="00AB1FDC" w:rsidRDefault="0015048D" w:rsidP="0015048D">
            <w:pPr>
              <w:ind w:firstLine="720"/>
              <w:rPr>
                <w:rFonts w:ascii="Arial" w:hAnsi="Arial" w:cs="Arial"/>
              </w:rPr>
            </w:pPr>
            <w:r w:rsidRPr="00AB1FDC">
              <w:rPr>
                <w:rFonts w:ascii="Arial" w:hAnsi="Arial" w:cs="Arial"/>
              </w:rPr>
              <w:t>Account 557 ($3,592,257)</w:t>
            </w:r>
          </w:p>
          <w:p w:rsidR="007174C2" w:rsidRPr="00AB1FDC" w:rsidRDefault="007174C2" w:rsidP="0015048D">
            <w:pPr>
              <w:pStyle w:val="ListParagraph"/>
              <w:rPr>
                <w:rFonts w:ascii="Arial" w:hAnsi="Arial" w:cs="Arial"/>
              </w:rPr>
            </w:pPr>
          </w:p>
          <w:p w:rsidR="00CB40E6" w:rsidRPr="00AB1FDC" w:rsidRDefault="00CB40E6" w:rsidP="00CB40E6">
            <w:pPr>
              <w:pStyle w:val="ListParagraph"/>
              <w:rPr>
                <w:rFonts w:ascii="Arial" w:hAnsi="Arial" w:cs="Arial"/>
                <w:szCs w:val="24"/>
              </w:rPr>
            </w:pPr>
          </w:p>
        </w:tc>
      </w:tr>
      <w:tr w:rsidR="00783AB0" w:rsidRPr="00AB1FDC" w:rsidTr="00471EC9">
        <w:tc>
          <w:tcPr>
            <w:tcW w:w="741" w:type="dxa"/>
            <w:tcBorders>
              <w:bottom w:val="single" w:sz="4" w:space="0" w:color="auto"/>
            </w:tcBorders>
          </w:tcPr>
          <w:p w:rsidR="00783AB0" w:rsidRPr="00AB1FDC" w:rsidRDefault="00783AB0" w:rsidP="00DB78BD">
            <w:pPr>
              <w:rPr>
                <w:rFonts w:ascii="Arial" w:hAnsi="Arial" w:cs="Arial"/>
              </w:rPr>
            </w:pPr>
          </w:p>
        </w:tc>
        <w:tc>
          <w:tcPr>
            <w:tcW w:w="7269" w:type="dxa"/>
            <w:tcBorders>
              <w:bottom w:val="single" w:sz="4" w:space="0" w:color="auto"/>
            </w:tcBorders>
          </w:tcPr>
          <w:p w:rsidR="00783AB0" w:rsidRPr="00AB1FDC" w:rsidRDefault="00783AB0" w:rsidP="00DB78BD">
            <w:pPr>
              <w:rPr>
                <w:rFonts w:ascii="Arial" w:hAnsi="Arial" w:cs="Arial"/>
                <w:szCs w:val="24"/>
              </w:rPr>
            </w:pPr>
          </w:p>
        </w:tc>
      </w:tr>
      <w:tr w:rsidR="00783AB0" w:rsidRPr="00AB1FDC" w:rsidTr="00471EC9">
        <w:tc>
          <w:tcPr>
            <w:tcW w:w="741" w:type="dxa"/>
            <w:shd w:val="clear" w:color="auto" w:fill="D9D9D9" w:themeFill="background1" w:themeFillShade="D9"/>
          </w:tcPr>
          <w:p w:rsidR="00783AB0" w:rsidRPr="00AB1FDC" w:rsidRDefault="00783AB0" w:rsidP="00DB78BD">
            <w:pPr>
              <w:rPr>
                <w:rFonts w:ascii="Arial" w:hAnsi="Arial" w:cs="Arial"/>
              </w:rPr>
            </w:pPr>
            <w:r w:rsidRPr="00AB1FDC">
              <w:rPr>
                <w:rFonts w:ascii="Arial" w:hAnsi="Arial" w:cs="Arial"/>
              </w:rPr>
              <w:t>v.</w:t>
            </w:r>
          </w:p>
        </w:tc>
        <w:tc>
          <w:tcPr>
            <w:tcW w:w="7269" w:type="dxa"/>
            <w:shd w:val="clear" w:color="auto" w:fill="D9D9D9" w:themeFill="background1" w:themeFillShade="D9"/>
          </w:tcPr>
          <w:p w:rsidR="00783AB0" w:rsidRPr="00AB1FDC" w:rsidRDefault="00471EC9" w:rsidP="00DB78BD">
            <w:pPr>
              <w:rPr>
                <w:rFonts w:ascii="Arial" w:hAnsi="Arial" w:cs="Arial"/>
                <w:szCs w:val="24"/>
              </w:rPr>
            </w:pPr>
            <w:r w:rsidRPr="00AB1FDC">
              <w:rPr>
                <w:rFonts w:ascii="Arial" w:hAnsi="Arial" w:cs="Arial"/>
                <w:szCs w:val="24"/>
              </w:rPr>
              <w:t>Changes to income tax elections</w:t>
            </w:r>
          </w:p>
        </w:tc>
      </w:tr>
      <w:tr w:rsidR="00783AB0" w:rsidRPr="00AB1FDC" w:rsidTr="00471EC9">
        <w:tc>
          <w:tcPr>
            <w:tcW w:w="741" w:type="dxa"/>
          </w:tcPr>
          <w:p w:rsidR="00783AB0" w:rsidRPr="00AB1FDC" w:rsidRDefault="00783AB0" w:rsidP="00DB78BD">
            <w:pPr>
              <w:rPr>
                <w:rFonts w:ascii="Arial" w:hAnsi="Arial" w:cs="Arial"/>
              </w:rPr>
            </w:pPr>
          </w:p>
        </w:tc>
        <w:tc>
          <w:tcPr>
            <w:tcW w:w="7269" w:type="dxa"/>
          </w:tcPr>
          <w:p w:rsidR="00F76257" w:rsidRPr="00AB1FDC" w:rsidRDefault="00F76257" w:rsidP="00234C5E">
            <w:pPr>
              <w:pStyle w:val="ListParagraph"/>
              <w:numPr>
                <w:ilvl w:val="0"/>
                <w:numId w:val="1"/>
              </w:numPr>
              <w:rPr>
                <w:rFonts w:ascii="Arial" w:hAnsi="Arial" w:cs="Arial"/>
                <w:szCs w:val="24"/>
              </w:rPr>
            </w:pPr>
            <w:r w:rsidRPr="00AB1FDC">
              <w:rPr>
                <w:rFonts w:ascii="Arial" w:hAnsi="Arial" w:cs="Arial"/>
                <w:szCs w:val="24"/>
              </w:rPr>
              <w:t>There were no changes to income tax elections.</w:t>
            </w:r>
          </w:p>
          <w:p w:rsidR="00F76257" w:rsidRPr="00AB1FDC" w:rsidRDefault="00F76257" w:rsidP="00234C5E">
            <w:pPr>
              <w:pStyle w:val="ListParagraph"/>
              <w:numPr>
                <w:ilvl w:val="0"/>
                <w:numId w:val="1"/>
              </w:numPr>
              <w:rPr>
                <w:rFonts w:ascii="Arial" w:hAnsi="Arial" w:cs="Arial"/>
                <w:szCs w:val="24"/>
              </w:rPr>
            </w:pPr>
            <w:r w:rsidRPr="00AB1FDC">
              <w:rPr>
                <w:rFonts w:ascii="Arial" w:hAnsi="Arial" w:cs="Arial"/>
                <w:szCs w:val="24"/>
              </w:rPr>
              <w:t>There were two changes in tax accounting methods:</w:t>
            </w:r>
          </w:p>
          <w:p w:rsidR="00783AB0" w:rsidRPr="00AB1FDC" w:rsidRDefault="00421A6F" w:rsidP="00234C5E">
            <w:pPr>
              <w:pStyle w:val="ListParagraph"/>
              <w:numPr>
                <w:ilvl w:val="0"/>
                <w:numId w:val="1"/>
              </w:numPr>
              <w:rPr>
                <w:rFonts w:ascii="Arial" w:hAnsi="Arial" w:cs="Arial"/>
                <w:szCs w:val="24"/>
              </w:rPr>
            </w:pPr>
            <w:r w:rsidRPr="00AB1FDC">
              <w:rPr>
                <w:rFonts w:ascii="Arial" w:hAnsi="Arial" w:cs="Arial"/>
                <w:szCs w:val="24"/>
              </w:rPr>
              <w:t>Change in the method of accounting to treat bonuses as accrued in the taxable year in which all events have occurred that establish the fact of the liability to pay a bonus and the amount of the liability can be determined with reasonable accuracy under Section 461 of the Internal Revenue Code and related Treasury Regulations.  See Appendix 19.01(2</w:t>
            </w:r>
            <w:proofErr w:type="gramStart"/>
            <w:r w:rsidRPr="00AB1FDC">
              <w:rPr>
                <w:rFonts w:ascii="Arial" w:hAnsi="Arial" w:cs="Arial"/>
                <w:szCs w:val="24"/>
              </w:rPr>
              <w:t>)(</w:t>
            </w:r>
            <w:proofErr w:type="gramEnd"/>
            <w:r w:rsidRPr="00AB1FDC">
              <w:rPr>
                <w:rFonts w:ascii="Arial" w:hAnsi="Arial" w:cs="Arial"/>
                <w:szCs w:val="24"/>
              </w:rPr>
              <w:t>a), Rev. Proc. 2011-14, 2011-14 I.R.B. 330 January 10,2011, I.R.C. Section 446.</w:t>
            </w:r>
            <w:r w:rsidR="00234C5E" w:rsidRPr="00AB1FDC">
              <w:rPr>
                <w:rFonts w:ascii="Arial" w:hAnsi="Arial" w:cs="Arial"/>
              </w:rPr>
              <w:t xml:space="preserve"> (</w:t>
            </w:r>
            <w:r w:rsidR="00234C5E" w:rsidRPr="00AB1FDC">
              <w:rPr>
                <w:rFonts w:ascii="Arial" w:hAnsi="Arial" w:cs="Arial"/>
                <w:szCs w:val="24"/>
              </w:rPr>
              <w:t>EAI, EGSL, ELL, EMI, ENOI, and ETI)</w:t>
            </w:r>
          </w:p>
          <w:p w:rsidR="00421A6F" w:rsidRPr="00AB1FDC" w:rsidRDefault="00421A6F" w:rsidP="00421A6F">
            <w:pPr>
              <w:pStyle w:val="ListParagraph"/>
              <w:numPr>
                <w:ilvl w:val="0"/>
                <w:numId w:val="1"/>
              </w:numPr>
              <w:rPr>
                <w:rFonts w:ascii="Arial" w:hAnsi="Arial" w:cs="Arial"/>
                <w:szCs w:val="24"/>
              </w:rPr>
            </w:pPr>
            <w:r w:rsidRPr="00AB1FDC">
              <w:rPr>
                <w:rFonts w:ascii="Arial" w:hAnsi="Arial" w:cs="Arial"/>
                <w:szCs w:val="24"/>
              </w:rPr>
              <w:t>In the fourth quarter of 2015, Entergy Louisiana adopted a new method of accounting for income tax purposes in which the companies’ nuclear decommissioning costs will be treated as production costs of electricity includable in cost of goods sold.</w:t>
            </w:r>
          </w:p>
          <w:p w:rsidR="00421A6F" w:rsidRPr="00AB1FDC" w:rsidRDefault="00421A6F" w:rsidP="00421A6F">
            <w:pPr>
              <w:rPr>
                <w:rFonts w:ascii="Arial" w:hAnsi="Arial" w:cs="Arial"/>
                <w:szCs w:val="24"/>
              </w:rPr>
            </w:pPr>
          </w:p>
        </w:tc>
      </w:tr>
    </w:tbl>
    <w:p w:rsidR="00DB78BD" w:rsidRPr="00AB1FDC" w:rsidRDefault="00DB78BD" w:rsidP="00DB78BD">
      <w:pPr>
        <w:rPr>
          <w:rFonts w:ascii="Arial" w:hAnsi="Arial" w:cs="Arial"/>
        </w:rPr>
      </w:pPr>
    </w:p>
    <w:p w:rsidR="00471EC9" w:rsidRPr="00AB1FDC" w:rsidRDefault="00DB78BD" w:rsidP="00471EC9">
      <w:pPr>
        <w:ind w:left="1440" w:hanging="810"/>
        <w:rPr>
          <w:rFonts w:ascii="Arial" w:hAnsi="Arial" w:cs="Arial"/>
          <w:szCs w:val="24"/>
        </w:rPr>
      </w:pPr>
      <w:r w:rsidRPr="00AB1FDC">
        <w:rPr>
          <w:rFonts w:ascii="Arial" w:hAnsi="Arial" w:cs="Arial"/>
          <w:szCs w:val="24"/>
        </w:rPr>
        <w:t>b.</w:t>
      </w:r>
      <w:r w:rsidRPr="00AB1FDC">
        <w:rPr>
          <w:rFonts w:ascii="Arial" w:hAnsi="Arial" w:cs="Arial"/>
          <w:szCs w:val="24"/>
        </w:rPr>
        <w:tab/>
        <w:t>Identify items included in the formula rate at an amount other than on a historic cost basis (e.g., fair value adjustments)</w:t>
      </w:r>
    </w:p>
    <w:p w:rsidR="00471EC9" w:rsidRPr="00AB1FDC" w:rsidRDefault="00471EC9" w:rsidP="00471EC9">
      <w:pPr>
        <w:ind w:left="1440" w:hanging="810"/>
        <w:rPr>
          <w:rFonts w:ascii="Arial" w:hAnsi="Arial" w:cs="Arial"/>
          <w:szCs w:val="24"/>
        </w:rPr>
      </w:pPr>
    </w:p>
    <w:tbl>
      <w:tblPr>
        <w:tblStyle w:val="TableGrid"/>
        <w:tblW w:w="8010" w:type="dxa"/>
        <w:tblInd w:w="1548" w:type="dxa"/>
        <w:tblLook w:val="04A0" w:firstRow="1" w:lastRow="0" w:firstColumn="1" w:lastColumn="0" w:noHBand="0" w:noVBand="1"/>
      </w:tblPr>
      <w:tblGrid>
        <w:gridCol w:w="741"/>
        <w:gridCol w:w="7269"/>
      </w:tblGrid>
      <w:tr w:rsidR="00471EC9" w:rsidRPr="00AB1FDC" w:rsidTr="00471EC9">
        <w:tc>
          <w:tcPr>
            <w:tcW w:w="741" w:type="dxa"/>
            <w:shd w:val="clear" w:color="auto" w:fill="auto"/>
          </w:tcPr>
          <w:p w:rsidR="00471EC9" w:rsidRPr="00AB1FDC" w:rsidRDefault="00471EC9" w:rsidP="000155D8">
            <w:pPr>
              <w:rPr>
                <w:rFonts w:ascii="Arial" w:hAnsi="Arial" w:cs="Arial"/>
              </w:rPr>
            </w:pPr>
          </w:p>
        </w:tc>
        <w:tc>
          <w:tcPr>
            <w:tcW w:w="7269" w:type="dxa"/>
            <w:shd w:val="clear" w:color="auto" w:fill="auto"/>
          </w:tcPr>
          <w:p w:rsidR="00471EC9" w:rsidRPr="00AB1FDC" w:rsidRDefault="00471EC9" w:rsidP="000155D8">
            <w:pPr>
              <w:rPr>
                <w:rFonts w:ascii="Arial" w:hAnsi="Arial" w:cs="Arial"/>
              </w:rPr>
            </w:pPr>
            <w:r w:rsidRPr="00AB1FDC">
              <w:rPr>
                <w:rFonts w:ascii="Arial" w:hAnsi="Arial" w:cs="Arial"/>
                <w:szCs w:val="24"/>
              </w:rPr>
              <w:t>-N/A Entergy’s current formula is on an historical basis</w:t>
            </w:r>
          </w:p>
        </w:tc>
      </w:tr>
    </w:tbl>
    <w:p w:rsidR="00471EC9" w:rsidRPr="00AB1FDC" w:rsidRDefault="00471EC9" w:rsidP="00471EC9">
      <w:pPr>
        <w:ind w:left="1440" w:hanging="810"/>
        <w:rPr>
          <w:rFonts w:ascii="Arial" w:hAnsi="Arial" w:cs="Arial"/>
          <w:szCs w:val="24"/>
        </w:rPr>
      </w:pPr>
    </w:p>
    <w:p w:rsidR="00471EC9" w:rsidRPr="00AB1FDC" w:rsidRDefault="00DB78BD" w:rsidP="00471EC9">
      <w:pPr>
        <w:ind w:left="1440" w:hanging="810"/>
        <w:rPr>
          <w:rFonts w:ascii="Arial" w:hAnsi="Arial" w:cs="Arial"/>
          <w:szCs w:val="24"/>
        </w:rPr>
      </w:pPr>
      <w:r w:rsidRPr="00AB1FDC">
        <w:rPr>
          <w:rFonts w:ascii="Arial" w:hAnsi="Arial" w:cs="Arial"/>
          <w:szCs w:val="24"/>
        </w:rPr>
        <w:t>c.</w:t>
      </w:r>
      <w:r w:rsidRPr="00AB1FDC">
        <w:rPr>
          <w:rFonts w:ascii="Arial" w:hAnsi="Arial" w:cs="Arial"/>
          <w:szCs w:val="24"/>
        </w:rPr>
        <w:tab/>
        <w:t>Identify any reorganization or merger transaction during the previous year and explain the effect of the accounting for such transaction(s) on inputs to the formula rate</w:t>
      </w:r>
    </w:p>
    <w:p w:rsidR="00471EC9" w:rsidRPr="00AB1FDC" w:rsidRDefault="00471EC9" w:rsidP="00471EC9">
      <w:pPr>
        <w:ind w:left="1440" w:hanging="810"/>
        <w:rPr>
          <w:rFonts w:ascii="Arial" w:hAnsi="Arial" w:cs="Arial"/>
          <w:szCs w:val="24"/>
        </w:rPr>
      </w:pPr>
    </w:p>
    <w:tbl>
      <w:tblPr>
        <w:tblStyle w:val="TableGrid"/>
        <w:tblW w:w="8010" w:type="dxa"/>
        <w:tblInd w:w="1548" w:type="dxa"/>
        <w:tblLook w:val="04A0" w:firstRow="1" w:lastRow="0" w:firstColumn="1" w:lastColumn="0" w:noHBand="0" w:noVBand="1"/>
      </w:tblPr>
      <w:tblGrid>
        <w:gridCol w:w="741"/>
        <w:gridCol w:w="7269"/>
      </w:tblGrid>
      <w:tr w:rsidR="00471EC9" w:rsidRPr="00AB1FDC" w:rsidTr="000155D8">
        <w:tc>
          <w:tcPr>
            <w:tcW w:w="741" w:type="dxa"/>
            <w:shd w:val="clear" w:color="auto" w:fill="auto"/>
          </w:tcPr>
          <w:p w:rsidR="00471EC9" w:rsidRPr="00AB1FDC" w:rsidRDefault="00471EC9" w:rsidP="000155D8">
            <w:pPr>
              <w:rPr>
                <w:rFonts w:ascii="Arial" w:hAnsi="Arial" w:cs="Arial"/>
              </w:rPr>
            </w:pPr>
          </w:p>
        </w:tc>
        <w:tc>
          <w:tcPr>
            <w:tcW w:w="7269" w:type="dxa"/>
            <w:shd w:val="clear" w:color="auto" w:fill="auto"/>
          </w:tcPr>
          <w:p w:rsidR="00D653B1" w:rsidRPr="00AB1FDC" w:rsidRDefault="00D653B1" w:rsidP="00D653B1">
            <w:pPr>
              <w:pStyle w:val="ListParagraph"/>
              <w:numPr>
                <w:ilvl w:val="0"/>
                <w:numId w:val="1"/>
              </w:numPr>
              <w:rPr>
                <w:rFonts w:ascii="Arial" w:hAnsi="Arial" w:cs="Arial"/>
              </w:rPr>
            </w:pPr>
            <w:r w:rsidRPr="00AB1FDC">
              <w:rPr>
                <w:rFonts w:ascii="Arial" w:hAnsi="Arial" w:cs="Arial"/>
              </w:rPr>
              <w:t>EGSL/ELL merger - costs were excluded from the formula rate</w:t>
            </w:r>
          </w:p>
          <w:p w:rsidR="00D653B1" w:rsidRPr="00AB1FDC" w:rsidRDefault="00D653B1" w:rsidP="00D653B1">
            <w:pPr>
              <w:pStyle w:val="ListParagraph"/>
              <w:numPr>
                <w:ilvl w:val="0"/>
                <w:numId w:val="1"/>
              </w:numPr>
              <w:rPr>
                <w:rFonts w:ascii="Arial" w:hAnsi="Arial" w:cs="Arial"/>
              </w:rPr>
            </w:pPr>
            <w:r w:rsidRPr="00AB1FDC">
              <w:rPr>
                <w:rFonts w:ascii="Arial" w:hAnsi="Arial" w:cs="Arial"/>
              </w:rPr>
              <w:t>ELL – Algiers/ENOI merger transaction - costs were excluded from the formula rate</w:t>
            </w:r>
          </w:p>
          <w:p w:rsidR="00471EC9" w:rsidRPr="00AB1FDC" w:rsidRDefault="00D653B1" w:rsidP="0013666E">
            <w:pPr>
              <w:pStyle w:val="ListParagraph"/>
              <w:numPr>
                <w:ilvl w:val="0"/>
                <w:numId w:val="1"/>
              </w:numPr>
              <w:rPr>
                <w:rFonts w:ascii="Arial" w:hAnsi="Arial" w:cs="Arial"/>
              </w:rPr>
            </w:pPr>
            <w:r w:rsidRPr="00AB1FDC">
              <w:rPr>
                <w:rFonts w:ascii="Arial" w:hAnsi="Arial" w:cs="Arial"/>
              </w:rPr>
              <w:t>Entergy/ITC transaction costs were incurred in 201</w:t>
            </w:r>
            <w:r w:rsidR="0013666E" w:rsidRPr="00AB1FDC">
              <w:rPr>
                <w:rFonts w:ascii="Arial" w:hAnsi="Arial" w:cs="Arial"/>
              </w:rPr>
              <w:t>5</w:t>
            </w:r>
            <w:r w:rsidRPr="00AB1FDC">
              <w:rPr>
                <w:rFonts w:ascii="Arial" w:hAnsi="Arial" w:cs="Arial"/>
              </w:rPr>
              <w:t xml:space="preserve"> – costs were excluded from the formula rate</w:t>
            </w:r>
          </w:p>
        </w:tc>
      </w:tr>
    </w:tbl>
    <w:p w:rsidR="00471EC9" w:rsidRPr="00AB1FDC" w:rsidRDefault="00471EC9" w:rsidP="00471EC9">
      <w:pPr>
        <w:ind w:left="1440" w:hanging="810"/>
        <w:rPr>
          <w:rFonts w:ascii="Arial" w:hAnsi="Arial" w:cs="Arial"/>
          <w:szCs w:val="24"/>
        </w:rPr>
      </w:pPr>
    </w:p>
    <w:p w:rsidR="00DB78BD" w:rsidRPr="00AB1FDC" w:rsidRDefault="00DB78BD" w:rsidP="00471EC9">
      <w:pPr>
        <w:ind w:left="1440" w:hanging="810"/>
        <w:rPr>
          <w:rFonts w:ascii="Arial" w:hAnsi="Arial" w:cs="Arial"/>
          <w:szCs w:val="24"/>
        </w:rPr>
      </w:pPr>
      <w:r w:rsidRPr="00AB1FDC">
        <w:rPr>
          <w:rFonts w:ascii="Arial" w:hAnsi="Arial" w:cs="Arial"/>
          <w:szCs w:val="24"/>
        </w:rPr>
        <w:t>d.</w:t>
      </w:r>
      <w:r w:rsidR="00471EC9" w:rsidRPr="00AB1FDC">
        <w:rPr>
          <w:rFonts w:ascii="Arial" w:hAnsi="Arial" w:cs="Arial"/>
          <w:szCs w:val="24"/>
        </w:rPr>
        <w:tab/>
      </w:r>
      <w:r w:rsidRPr="00AB1FDC">
        <w:rPr>
          <w:rFonts w:ascii="Arial" w:hAnsi="Arial" w:cs="Arial"/>
          <w:szCs w:val="24"/>
        </w:rPr>
        <w:t>Provide, for each item identified pursuant to items II.D.8.a - II.D.8.c of these protocols, a narrative explanation of the individual impact of such changes on charges billed under the formula rate.</w:t>
      </w:r>
    </w:p>
    <w:p w:rsidR="00471EC9" w:rsidRPr="00AB1FDC" w:rsidRDefault="00471EC9" w:rsidP="00471EC9">
      <w:pPr>
        <w:ind w:left="1440" w:hanging="810"/>
        <w:rPr>
          <w:rFonts w:ascii="Arial" w:hAnsi="Arial" w:cs="Arial"/>
          <w:szCs w:val="24"/>
        </w:rPr>
      </w:pPr>
    </w:p>
    <w:tbl>
      <w:tblPr>
        <w:tblStyle w:val="TableGrid"/>
        <w:tblW w:w="8010" w:type="dxa"/>
        <w:tblInd w:w="1548" w:type="dxa"/>
        <w:tblLook w:val="04A0" w:firstRow="1" w:lastRow="0" w:firstColumn="1" w:lastColumn="0" w:noHBand="0" w:noVBand="1"/>
      </w:tblPr>
      <w:tblGrid>
        <w:gridCol w:w="741"/>
        <w:gridCol w:w="7269"/>
      </w:tblGrid>
      <w:tr w:rsidR="00471EC9" w:rsidRPr="00AB1FDC" w:rsidTr="000155D8">
        <w:tc>
          <w:tcPr>
            <w:tcW w:w="741" w:type="dxa"/>
            <w:shd w:val="clear" w:color="auto" w:fill="auto"/>
          </w:tcPr>
          <w:p w:rsidR="00471EC9" w:rsidRPr="00AB1FDC" w:rsidRDefault="00471EC9" w:rsidP="000155D8">
            <w:pPr>
              <w:rPr>
                <w:rFonts w:ascii="Arial" w:hAnsi="Arial" w:cs="Arial"/>
              </w:rPr>
            </w:pPr>
          </w:p>
        </w:tc>
        <w:tc>
          <w:tcPr>
            <w:tcW w:w="7269" w:type="dxa"/>
            <w:shd w:val="clear" w:color="auto" w:fill="auto"/>
          </w:tcPr>
          <w:p w:rsidR="00BD412E" w:rsidRPr="00AB1FDC" w:rsidRDefault="006A69AF" w:rsidP="00C2752B">
            <w:pPr>
              <w:rPr>
                <w:rFonts w:ascii="Arial" w:hAnsi="Arial" w:cs="Arial"/>
                <w:szCs w:val="24"/>
              </w:rPr>
            </w:pPr>
            <w:r w:rsidRPr="00AB1FDC">
              <w:rPr>
                <w:rFonts w:ascii="Arial" w:hAnsi="Arial" w:cs="Arial"/>
                <w:szCs w:val="24"/>
              </w:rPr>
              <w:t>II.D.8.a.iv</w:t>
            </w:r>
            <w:r w:rsidR="00EE6CA1" w:rsidRPr="00AB1FDC">
              <w:rPr>
                <w:rFonts w:ascii="Arial" w:hAnsi="Arial" w:cs="Arial"/>
                <w:szCs w:val="24"/>
              </w:rPr>
              <w:t xml:space="preserve"> – Accounting Changes: New estimation methods or policy changes</w:t>
            </w:r>
          </w:p>
          <w:p w:rsidR="00EE6CA1" w:rsidRPr="00AB1FDC" w:rsidRDefault="006A69AF" w:rsidP="00AD4E48">
            <w:pPr>
              <w:ind w:left="411" w:hanging="270"/>
              <w:rPr>
                <w:rFonts w:ascii="Arial" w:hAnsi="Arial" w:cs="Arial"/>
                <w:szCs w:val="24"/>
              </w:rPr>
            </w:pPr>
            <w:r w:rsidRPr="00AB1FDC">
              <w:rPr>
                <w:rFonts w:ascii="Arial" w:hAnsi="Arial" w:cs="Arial"/>
                <w:szCs w:val="24"/>
              </w:rPr>
              <w:t xml:space="preserve"> </w:t>
            </w:r>
          </w:p>
        </w:tc>
      </w:tr>
    </w:tbl>
    <w:p w:rsidR="00471EC9" w:rsidRPr="00AB1FDC" w:rsidRDefault="00471EC9" w:rsidP="00471EC9">
      <w:pPr>
        <w:ind w:left="1440" w:hanging="810"/>
        <w:rPr>
          <w:rFonts w:ascii="Arial" w:hAnsi="Arial" w:cs="Arial"/>
          <w:szCs w:val="24"/>
        </w:rPr>
      </w:pPr>
    </w:p>
    <w:p w:rsidR="0062534E" w:rsidRPr="009E3A4E" w:rsidRDefault="00E32348" w:rsidP="00E32348">
      <w:pPr>
        <w:ind w:left="720" w:hanging="720"/>
        <w:rPr>
          <w:rFonts w:ascii="Arial" w:hAnsi="Arial" w:cs="Arial"/>
        </w:rPr>
      </w:pPr>
      <w:r w:rsidRPr="00AB1FDC">
        <w:rPr>
          <w:rFonts w:ascii="Arial" w:hAnsi="Arial" w:cs="Arial"/>
          <w:szCs w:val="24"/>
        </w:rPr>
        <w:t>*</w:t>
      </w:r>
      <w:r w:rsidRPr="00AB1FDC">
        <w:rPr>
          <w:rFonts w:ascii="Arial" w:hAnsi="Arial" w:cs="Arial"/>
          <w:szCs w:val="24"/>
        </w:rPr>
        <w:tab/>
        <w:t>The ELL and EGSL Entergy companies were merged into a single company October 1, 2015.   For reporting purposes in 2015, the legacy ELL was identified as the EL Investment Company and the merged successor company was designated as Entergy Louisiana Power</w:t>
      </w:r>
      <w:r w:rsidR="009E3A4E" w:rsidRPr="00AB1FDC">
        <w:rPr>
          <w:rFonts w:ascii="Arial" w:hAnsi="Arial" w:cs="Arial"/>
          <w:szCs w:val="24"/>
        </w:rPr>
        <w:t xml:space="preserve">, which was renamed as ELL.  </w:t>
      </w:r>
      <w:r w:rsidRPr="00AB1FDC">
        <w:rPr>
          <w:rFonts w:ascii="Arial" w:hAnsi="Arial" w:cs="Arial"/>
          <w:szCs w:val="24"/>
        </w:rPr>
        <w:t>The information for the merged companies is combined for 2015 and presented in the ELL Attac</w:t>
      </w:r>
      <w:r w:rsidRPr="009E3A4E">
        <w:rPr>
          <w:rFonts w:ascii="Arial" w:hAnsi="Arial" w:cs="Arial"/>
          <w:szCs w:val="24"/>
        </w:rPr>
        <w:t>hment O.</w:t>
      </w:r>
    </w:p>
    <w:sectPr w:rsidR="0062534E" w:rsidRPr="009E3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230C2"/>
    <w:multiLevelType w:val="hybridMultilevel"/>
    <w:tmpl w:val="B2284F3E"/>
    <w:lvl w:ilvl="0" w:tplc="67B8848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BD"/>
    <w:rsid w:val="00106A17"/>
    <w:rsid w:val="0013666E"/>
    <w:rsid w:val="0015048D"/>
    <w:rsid w:val="00181C40"/>
    <w:rsid w:val="00234C5E"/>
    <w:rsid w:val="00296535"/>
    <w:rsid w:val="002E216D"/>
    <w:rsid w:val="00331422"/>
    <w:rsid w:val="003B4900"/>
    <w:rsid w:val="003B6D5B"/>
    <w:rsid w:val="004155D2"/>
    <w:rsid w:val="00421A6F"/>
    <w:rsid w:val="004250DA"/>
    <w:rsid w:val="004268C2"/>
    <w:rsid w:val="00426A13"/>
    <w:rsid w:val="004666CE"/>
    <w:rsid w:val="00471EC9"/>
    <w:rsid w:val="004F494B"/>
    <w:rsid w:val="00545C36"/>
    <w:rsid w:val="0062534E"/>
    <w:rsid w:val="006612C4"/>
    <w:rsid w:val="006A69AF"/>
    <w:rsid w:val="007174C2"/>
    <w:rsid w:val="00783AB0"/>
    <w:rsid w:val="0079421D"/>
    <w:rsid w:val="007E08B5"/>
    <w:rsid w:val="00831F56"/>
    <w:rsid w:val="00867A80"/>
    <w:rsid w:val="008930C7"/>
    <w:rsid w:val="00940B7E"/>
    <w:rsid w:val="00945C40"/>
    <w:rsid w:val="00996189"/>
    <w:rsid w:val="009E3A4E"/>
    <w:rsid w:val="00A17203"/>
    <w:rsid w:val="00A24D51"/>
    <w:rsid w:val="00A47EC1"/>
    <w:rsid w:val="00A52DDE"/>
    <w:rsid w:val="00A767CF"/>
    <w:rsid w:val="00AB1FDC"/>
    <w:rsid w:val="00AD4E48"/>
    <w:rsid w:val="00B56D49"/>
    <w:rsid w:val="00B704CF"/>
    <w:rsid w:val="00BD412E"/>
    <w:rsid w:val="00C069A3"/>
    <w:rsid w:val="00C2752B"/>
    <w:rsid w:val="00CA3DBA"/>
    <w:rsid w:val="00CB40E6"/>
    <w:rsid w:val="00CF58A0"/>
    <w:rsid w:val="00D01A75"/>
    <w:rsid w:val="00D653B1"/>
    <w:rsid w:val="00DB78BD"/>
    <w:rsid w:val="00DC7282"/>
    <w:rsid w:val="00E32348"/>
    <w:rsid w:val="00EE6CA1"/>
    <w:rsid w:val="00F76257"/>
    <w:rsid w:val="00FC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B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AB0"/>
    <w:pPr>
      <w:ind w:left="720"/>
      <w:contextualSpacing/>
    </w:pPr>
  </w:style>
  <w:style w:type="paragraph" w:styleId="BalloonText">
    <w:name w:val="Balloon Text"/>
    <w:basedOn w:val="Normal"/>
    <w:link w:val="BalloonTextChar"/>
    <w:uiPriority w:val="99"/>
    <w:semiHidden/>
    <w:unhideWhenUsed/>
    <w:rsid w:val="004155D2"/>
    <w:rPr>
      <w:rFonts w:ascii="Tahoma" w:hAnsi="Tahoma" w:cs="Tahoma"/>
      <w:sz w:val="16"/>
      <w:szCs w:val="16"/>
    </w:rPr>
  </w:style>
  <w:style w:type="character" w:customStyle="1" w:styleId="BalloonTextChar">
    <w:name w:val="Balloon Text Char"/>
    <w:basedOn w:val="DefaultParagraphFont"/>
    <w:link w:val="BalloonText"/>
    <w:uiPriority w:val="99"/>
    <w:semiHidden/>
    <w:rsid w:val="004155D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BD"/>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7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3AB0"/>
    <w:pPr>
      <w:ind w:left="720"/>
      <w:contextualSpacing/>
    </w:pPr>
  </w:style>
  <w:style w:type="paragraph" w:styleId="BalloonText">
    <w:name w:val="Balloon Text"/>
    <w:basedOn w:val="Normal"/>
    <w:link w:val="BalloonTextChar"/>
    <w:uiPriority w:val="99"/>
    <w:semiHidden/>
    <w:unhideWhenUsed/>
    <w:rsid w:val="004155D2"/>
    <w:rPr>
      <w:rFonts w:ascii="Tahoma" w:hAnsi="Tahoma" w:cs="Tahoma"/>
      <w:sz w:val="16"/>
      <w:szCs w:val="16"/>
    </w:rPr>
  </w:style>
  <w:style w:type="character" w:customStyle="1" w:styleId="BalloonTextChar">
    <w:name w:val="Balloon Text Char"/>
    <w:basedOn w:val="DefaultParagraphFont"/>
    <w:link w:val="BalloonText"/>
    <w:uiPriority w:val="99"/>
    <w:semiHidden/>
    <w:rsid w:val="004155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94112">
      <w:bodyDiv w:val="1"/>
      <w:marLeft w:val="0"/>
      <w:marRight w:val="0"/>
      <w:marTop w:val="0"/>
      <w:marBottom w:val="0"/>
      <w:divBdr>
        <w:top w:val="none" w:sz="0" w:space="0" w:color="auto"/>
        <w:left w:val="none" w:sz="0" w:space="0" w:color="auto"/>
        <w:bottom w:val="none" w:sz="0" w:space="0" w:color="auto"/>
        <w:right w:val="none" w:sz="0" w:space="0" w:color="auto"/>
      </w:divBdr>
    </w:div>
    <w:div w:id="358817669">
      <w:bodyDiv w:val="1"/>
      <w:marLeft w:val="0"/>
      <w:marRight w:val="0"/>
      <w:marTop w:val="0"/>
      <w:marBottom w:val="0"/>
      <w:divBdr>
        <w:top w:val="none" w:sz="0" w:space="0" w:color="auto"/>
        <w:left w:val="none" w:sz="0" w:space="0" w:color="auto"/>
        <w:bottom w:val="none" w:sz="0" w:space="0" w:color="auto"/>
        <w:right w:val="none" w:sz="0" w:space="0" w:color="auto"/>
      </w:divBdr>
    </w:div>
    <w:div w:id="632296020">
      <w:bodyDiv w:val="1"/>
      <w:marLeft w:val="0"/>
      <w:marRight w:val="0"/>
      <w:marTop w:val="0"/>
      <w:marBottom w:val="0"/>
      <w:divBdr>
        <w:top w:val="none" w:sz="0" w:space="0" w:color="auto"/>
        <w:left w:val="none" w:sz="0" w:space="0" w:color="auto"/>
        <w:bottom w:val="none" w:sz="0" w:space="0" w:color="auto"/>
        <w:right w:val="none" w:sz="0" w:space="0" w:color="auto"/>
      </w:divBdr>
    </w:div>
    <w:div w:id="783616852">
      <w:bodyDiv w:val="1"/>
      <w:marLeft w:val="0"/>
      <w:marRight w:val="0"/>
      <w:marTop w:val="0"/>
      <w:marBottom w:val="0"/>
      <w:divBdr>
        <w:top w:val="none" w:sz="0" w:space="0" w:color="auto"/>
        <w:left w:val="none" w:sz="0" w:space="0" w:color="auto"/>
        <w:bottom w:val="none" w:sz="0" w:space="0" w:color="auto"/>
        <w:right w:val="none" w:sz="0" w:space="0" w:color="auto"/>
      </w:divBdr>
    </w:div>
    <w:div w:id="1942446349">
      <w:bodyDiv w:val="1"/>
      <w:marLeft w:val="0"/>
      <w:marRight w:val="0"/>
      <w:marTop w:val="0"/>
      <w:marBottom w:val="0"/>
      <w:divBdr>
        <w:top w:val="none" w:sz="0" w:space="0" w:color="auto"/>
        <w:left w:val="none" w:sz="0" w:space="0" w:color="auto"/>
        <w:bottom w:val="none" w:sz="0" w:space="0" w:color="auto"/>
        <w:right w:val="none" w:sz="0" w:space="0" w:color="auto"/>
      </w:divBdr>
    </w:div>
    <w:div w:id="206008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Entergy Corporation</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Entergy User</dc:creator>
  <cp:lastModifiedBy>lsande2</cp:lastModifiedBy>
  <cp:revision>2</cp:revision>
  <cp:lastPrinted>2016-05-23T22:15:00Z</cp:lastPrinted>
  <dcterms:created xsi:type="dcterms:W3CDTF">2016-05-31T19:24:00Z</dcterms:created>
  <dcterms:modified xsi:type="dcterms:W3CDTF">2016-05-31T19:24:00Z</dcterms:modified>
</cp:coreProperties>
</file>