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BD" w:rsidRDefault="00DB78BD" w:rsidP="00DB78BD">
      <w:pPr>
        <w:jc w:val="center"/>
      </w:pPr>
      <w:r>
        <w:t>MISO TOs Annual Rate Update</w:t>
      </w:r>
    </w:p>
    <w:p w:rsidR="00DB78BD" w:rsidRDefault="00DB78BD" w:rsidP="00DB78BD">
      <w:pPr>
        <w:jc w:val="center"/>
      </w:pPr>
      <w:r>
        <w:t>Accounting Changes</w:t>
      </w:r>
    </w:p>
    <w:p w:rsidR="00DB78BD" w:rsidRDefault="00DB78BD" w:rsidP="00DB78BD">
      <w:pPr>
        <w:jc w:val="center"/>
      </w:pPr>
    </w:p>
    <w:p w:rsidR="00DB78BD" w:rsidRDefault="00DB78BD" w:rsidP="00DB78BD">
      <w:pPr>
        <w:jc w:val="center"/>
      </w:pPr>
    </w:p>
    <w:tbl>
      <w:tblPr>
        <w:tblStyle w:val="TableGrid"/>
        <w:tblW w:w="0" w:type="auto"/>
        <w:tblLook w:val="04A0" w:firstRow="1" w:lastRow="0" w:firstColumn="1" w:lastColumn="0" w:noHBand="0" w:noVBand="1"/>
      </w:tblPr>
      <w:tblGrid>
        <w:gridCol w:w="1728"/>
        <w:gridCol w:w="4788"/>
      </w:tblGrid>
      <w:tr w:rsidR="00DB78BD" w:rsidTr="00DB78BD">
        <w:tc>
          <w:tcPr>
            <w:tcW w:w="1728" w:type="dxa"/>
          </w:tcPr>
          <w:p w:rsidR="00DB78BD" w:rsidRDefault="00DB78BD" w:rsidP="00DB78BD">
            <w:r>
              <w:t>Company:</w:t>
            </w:r>
          </w:p>
        </w:tc>
        <w:tc>
          <w:tcPr>
            <w:tcW w:w="4788" w:type="dxa"/>
          </w:tcPr>
          <w:p w:rsidR="00DB78BD" w:rsidRDefault="00DB78BD" w:rsidP="007E08B5">
            <w:r>
              <w:t xml:space="preserve">Entergy Services filing on behalf of EAI, EGSL, </w:t>
            </w:r>
            <w:r w:rsidR="007E08B5">
              <w:t xml:space="preserve">ELL, EMI, ENOI, and </w:t>
            </w:r>
            <w:r>
              <w:t>ETI</w:t>
            </w:r>
          </w:p>
        </w:tc>
      </w:tr>
      <w:tr w:rsidR="00DB78BD" w:rsidTr="00DB78BD">
        <w:tc>
          <w:tcPr>
            <w:tcW w:w="1728" w:type="dxa"/>
          </w:tcPr>
          <w:p w:rsidR="00DB78BD" w:rsidRDefault="00DB78BD" w:rsidP="00DB78BD">
            <w:r>
              <w:t>Test Year:</w:t>
            </w:r>
          </w:p>
        </w:tc>
        <w:tc>
          <w:tcPr>
            <w:tcW w:w="4788" w:type="dxa"/>
          </w:tcPr>
          <w:p w:rsidR="00DB78BD" w:rsidRDefault="003B4900" w:rsidP="00DB78BD">
            <w:r>
              <w:t>December 2014</w:t>
            </w:r>
          </w:p>
        </w:tc>
      </w:tr>
    </w:tbl>
    <w:p w:rsidR="00DB78BD" w:rsidRDefault="00DB78BD" w:rsidP="00DB78BD"/>
    <w:p w:rsidR="00DB78BD" w:rsidRDefault="00DB78BD" w:rsidP="00DB78BD">
      <w:pPr>
        <w:autoSpaceDE w:val="0"/>
        <w:autoSpaceDN w:val="0"/>
        <w:adjustRightInd w:val="0"/>
        <w:ind w:left="630" w:hanging="630"/>
        <w:jc w:val="both"/>
        <w:rPr>
          <w:szCs w:val="24"/>
        </w:rPr>
      </w:pPr>
      <w:r w:rsidRPr="00471EC9">
        <w:rPr>
          <w:szCs w:val="24"/>
        </w:rPr>
        <w:t>II.D.8</w:t>
      </w:r>
      <w:r>
        <w:rPr>
          <w:szCs w:val="24"/>
        </w:rPr>
        <w:t>.</w:t>
      </w:r>
      <w:r>
        <w:rPr>
          <w:szCs w:val="24"/>
        </w:rPr>
        <w:tab/>
        <w:t>With respect to any change in accounting that affects inputs to the formula rate or the resulting charges billed under the formula rate (“Accounting Change”):</w:t>
      </w:r>
    </w:p>
    <w:p w:rsidR="00DB78BD" w:rsidRDefault="004666CE" w:rsidP="004666CE">
      <w:pPr>
        <w:ind w:left="630"/>
      </w:pPr>
      <w:r>
        <w:rPr>
          <w:szCs w:val="24"/>
        </w:rPr>
        <w:t>a.</w:t>
      </w:r>
      <w:r>
        <w:rPr>
          <w:szCs w:val="24"/>
        </w:rPr>
        <w:tab/>
        <w:t>Identify any Accounting Changes, including</w:t>
      </w:r>
    </w:p>
    <w:p w:rsidR="00DB78BD" w:rsidRDefault="00DB78BD" w:rsidP="00DB78BD"/>
    <w:tbl>
      <w:tblPr>
        <w:tblStyle w:val="TableGrid"/>
        <w:tblW w:w="8010" w:type="dxa"/>
        <w:tblInd w:w="1548" w:type="dxa"/>
        <w:tblLook w:val="04A0" w:firstRow="1" w:lastRow="0" w:firstColumn="1" w:lastColumn="0" w:noHBand="0" w:noVBand="1"/>
      </w:tblPr>
      <w:tblGrid>
        <w:gridCol w:w="741"/>
        <w:gridCol w:w="7269"/>
      </w:tblGrid>
      <w:tr w:rsidR="004666CE" w:rsidTr="00471EC9">
        <w:tc>
          <w:tcPr>
            <w:tcW w:w="741" w:type="dxa"/>
            <w:shd w:val="clear" w:color="auto" w:fill="D9D9D9" w:themeFill="background1" w:themeFillShade="D9"/>
          </w:tcPr>
          <w:p w:rsidR="004666CE" w:rsidRDefault="00783AB0" w:rsidP="00DB78BD">
            <w:r>
              <w:rPr>
                <w:szCs w:val="24"/>
              </w:rPr>
              <w:t>i.</w:t>
            </w:r>
          </w:p>
        </w:tc>
        <w:tc>
          <w:tcPr>
            <w:tcW w:w="7269" w:type="dxa"/>
            <w:shd w:val="clear" w:color="auto" w:fill="D9D9D9" w:themeFill="background1" w:themeFillShade="D9"/>
          </w:tcPr>
          <w:p w:rsidR="004666CE" w:rsidRDefault="00783AB0" w:rsidP="00DB78BD">
            <w:r>
              <w:rPr>
                <w:szCs w:val="24"/>
              </w:rPr>
              <w:t>The initial implementation of an accounting standard or policy</w:t>
            </w:r>
          </w:p>
        </w:tc>
      </w:tr>
      <w:tr w:rsidR="00783AB0" w:rsidTr="00471EC9">
        <w:tc>
          <w:tcPr>
            <w:tcW w:w="741" w:type="dxa"/>
            <w:tcBorders>
              <w:bottom w:val="single" w:sz="4" w:space="0" w:color="auto"/>
            </w:tcBorders>
          </w:tcPr>
          <w:p w:rsidR="00783AB0" w:rsidRDefault="00783AB0" w:rsidP="00DB78BD">
            <w:pPr>
              <w:rPr>
                <w:szCs w:val="24"/>
              </w:rPr>
            </w:pPr>
          </w:p>
        </w:tc>
        <w:tc>
          <w:tcPr>
            <w:tcW w:w="7269" w:type="dxa"/>
            <w:tcBorders>
              <w:bottom w:val="single" w:sz="4" w:space="0" w:color="auto"/>
            </w:tcBorders>
          </w:tcPr>
          <w:p w:rsidR="00783AB0" w:rsidRPr="00867A80" w:rsidRDefault="00867A80" w:rsidP="00867A80">
            <w:pPr>
              <w:pStyle w:val="ListParagraph"/>
              <w:numPr>
                <w:ilvl w:val="0"/>
                <w:numId w:val="1"/>
              </w:numPr>
              <w:rPr>
                <w:szCs w:val="24"/>
              </w:rPr>
            </w:pPr>
            <w:r>
              <w:rPr>
                <w:szCs w:val="24"/>
              </w:rPr>
              <w:t>None for 2014</w:t>
            </w:r>
            <w:r w:rsidRPr="00867A80">
              <w:rPr>
                <w:szCs w:val="24"/>
              </w:rPr>
              <w:t xml:space="preserve"> </w:t>
            </w:r>
          </w:p>
        </w:tc>
      </w:tr>
      <w:tr w:rsidR="004666CE" w:rsidRPr="00783AB0" w:rsidTr="00471EC9">
        <w:tc>
          <w:tcPr>
            <w:tcW w:w="741" w:type="dxa"/>
            <w:shd w:val="clear" w:color="auto" w:fill="D9D9D9" w:themeFill="background1" w:themeFillShade="D9"/>
          </w:tcPr>
          <w:p w:rsidR="004666CE" w:rsidRPr="00783AB0" w:rsidRDefault="00783AB0" w:rsidP="00DB78BD">
            <w:pPr>
              <w:rPr>
                <w:szCs w:val="24"/>
              </w:rPr>
            </w:pPr>
            <w:r>
              <w:rPr>
                <w:szCs w:val="24"/>
              </w:rPr>
              <w:t>ii.</w:t>
            </w:r>
          </w:p>
        </w:tc>
        <w:tc>
          <w:tcPr>
            <w:tcW w:w="7269" w:type="dxa"/>
            <w:shd w:val="clear" w:color="auto" w:fill="D9D9D9" w:themeFill="background1" w:themeFillShade="D9"/>
          </w:tcPr>
          <w:p w:rsidR="004666CE" w:rsidRPr="00783AB0" w:rsidRDefault="00783AB0" w:rsidP="00783AB0">
            <w:pPr>
              <w:rPr>
                <w:szCs w:val="24"/>
              </w:rPr>
            </w:pPr>
            <w:r>
              <w:rPr>
                <w:szCs w:val="24"/>
              </w:rPr>
              <w:t>The initial implementation of accounting practices for unusual or unconventional items where FERC has not provided specific accounting direction</w:t>
            </w:r>
          </w:p>
        </w:tc>
      </w:tr>
      <w:tr w:rsidR="00783AB0" w:rsidTr="00471EC9">
        <w:tc>
          <w:tcPr>
            <w:tcW w:w="741" w:type="dxa"/>
            <w:tcBorders>
              <w:bottom w:val="single" w:sz="4" w:space="0" w:color="auto"/>
            </w:tcBorders>
          </w:tcPr>
          <w:p w:rsidR="00783AB0" w:rsidRDefault="00783AB0" w:rsidP="00DB78BD"/>
        </w:tc>
        <w:tc>
          <w:tcPr>
            <w:tcW w:w="7269" w:type="dxa"/>
            <w:tcBorders>
              <w:bottom w:val="single" w:sz="4" w:space="0" w:color="auto"/>
            </w:tcBorders>
          </w:tcPr>
          <w:p w:rsidR="00867A80" w:rsidRPr="00867A80" w:rsidRDefault="00867A80" w:rsidP="00867A80">
            <w:pPr>
              <w:pStyle w:val="ListParagraph"/>
              <w:numPr>
                <w:ilvl w:val="0"/>
                <w:numId w:val="1"/>
              </w:numPr>
              <w:rPr>
                <w:rFonts w:asciiTheme="minorHAnsi" w:hAnsiTheme="minorHAnsi" w:cstheme="minorHAnsi"/>
              </w:rPr>
            </w:pPr>
            <w:r w:rsidRPr="00867A80">
              <w:rPr>
                <w:rFonts w:asciiTheme="minorHAnsi" w:hAnsiTheme="minorHAnsi" w:cstheme="minorHAnsi"/>
              </w:rPr>
              <w:t xml:space="preserve">In the final audit report in Docket No. FA13-4-000, an audit of Southwestern Public Service Company, the Audit Staff reported a finding with respect to “Accounting for Regulatory Fees and Expenses” </w:t>
            </w:r>
            <w:r w:rsidR="004F4EF1">
              <w:rPr>
                <w:rFonts w:asciiTheme="minorHAnsi" w:hAnsiTheme="minorHAnsi" w:cstheme="minorHAnsi"/>
              </w:rPr>
              <w:t xml:space="preserve">that </w:t>
            </w:r>
            <w:r w:rsidRPr="00867A80">
              <w:rPr>
                <w:rFonts w:asciiTheme="minorHAnsi" w:hAnsiTheme="minorHAnsi" w:cstheme="minorHAnsi"/>
              </w:rPr>
              <w:t>provides, in pertinent part, as</w:t>
            </w:r>
            <w:r w:rsidR="00BC335F">
              <w:rPr>
                <w:rFonts w:asciiTheme="minorHAnsi" w:hAnsiTheme="minorHAnsi" w:cstheme="minorHAnsi"/>
              </w:rPr>
              <w:t xml:space="preserve"> </w:t>
            </w:r>
            <w:r w:rsidRPr="00867A80">
              <w:rPr>
                <w:rFonts w:asciiTheme="minorHAnsi" w:hAnsiTheme="minorHAnsi" w:cstheme="minorHAnsi"/>
              </w:rPr>
              <w:t xml:space="preserve">follows: </w:t>
            </w:r>
          </w:p>
          <w:p w:rsidR="00867A80" w:rsidRPr="00867A80" w:rsidRDefault="00867A80" w:rsidP="00867A80">
            <w:pPr>
              <w:rPr>
                <w:rFonts w:asciiTheme="minorHAnsi" w:hAnsiTheme="minorHAnsi" w:cstheme="minorHAnsi"/>
                <w:b/>
                <w:bCs/>
              </w:rPr>
            </w:pPr>
          </w:p>
          <w:p w:rsidR="00867A80" w:rsidRPr="00867A80" w:rsidRDefault="00867A80" w:rsidP="00BC335F">
            <w:pPr>
              <w:ind w:left="1131" w:right="612" w:hanging="771"/>
              <w:rPr>
                <w:rFonts w:asciiTheme="minorHAnsi" w:hAnsiTheme="minorHAnsi" w:cstheme="minorHAnsi"/>
              </w:rPr>
            </w:pPr>
            <w:r w:rsidRPr="00867A80">
              <w:rPr>
                <w:rFonts w:asciiTheme="minorHAnsi" w:hAnsiTheme="minorHAnsi" w:cstheme="minorHAnsi"/>
                <w:b/>
                <w:bCs/>
              </w:rPr>
              <w:tab/>
            </w:r>
            <w:r w:rsidR="00AD4E48">
              <w:rPr>
                <w:rFonts w:asciiTheme="minorHAnsi" w:hAnsiTheme="minorHAnsi" w:cstheme="minorHAnsi"/>
                <w:b/>
                <w:bCs/>
              </w:rPr>
              <w:t>“</w:t>
            </w:r>
            <w:r w:rsidRPr="00867A80">
              <w:rPr>
                <w:rFonts w:asciiTheme="minorHAnsi" w:hAnsiTheme="minorHAnsi" w:cstheme="minorHAnsi"/>
                <w:bCs/>
              </w:rPr>
              <w:t>Since NERC fees are costs incurred in establishing and enforcing reliability for the Bulk-Power System, SPS should have recorded them in Account 561.8, as required by the USofA. Instructions to Account 561.8</w:t>
            </w:r>
            <w:r w:rsidRPr="00AD4E48">
              <w:rPr>
                <w:rFonts w:asciiTheme="minorHAnsi" w:hAnsiTheme="minorHAnsi" w:cstheme="minorHAnsi"/>
                <w:bCs/>
              </w:rPr>
              <w:t xml:space="preserve"> </w:t>
            </w:r>
            <w:r w:rsidRPr="00867A80">
              <w:rPr>
                <w:rFonts w:asciiTheme="minorHAnsi" w:hAnsiTheme="minorHAnsi" w:cstheme="minorHAnsi"/>
                <w:bCs/>
              </w:rPr>
              <w:t xml:space="preserve">state that the account shall include “costs incurred for system planning of the interconnected bulk electric transmission system.”  </w:t>
            </w:r>
          </w:p>
          <w:p w:rsidR="00783AB0" w:rsidRPr="00867A80" w:rsidRDefault="00783AB0" w:rsidP="00867A80">
            <w:pPr>
              <w:pStyle w:val="ListParagraph"/>
            </w:pPr>
          </w:p>
          <w:p w:rsidR="00867A80" w:rsidRDefault="00426A13" w:rsidP="00426A13">
            <w:pPr>
              <w:pStyle w:val="ListParagraph"/>
            </w:pPr>
            <w:r>
              <w:t xml:space="preserve">Prior to the FERC’s guidance, </w:t>
            </w:r>
            <w:r w:rsidR="00867A80" w:rsidRPr="00867A80">
              <w:t>Enter</w:t>
            </w:r>
            <w:r w:rsidR="00867A80">
              <w:t>gy</w:t>
            </w:r>
            <w:r>
              <w:t xml:space="preserve"> record</w:t>
            </w:r>
            <w:r w:rsidR="004F4EF1">
              <w:t>ed</w:t>
            </w:r>
            <w:r>
              <w:t xml:space="preserve"> NERC fees in FERC </w:t>
            </w:r>
            <w:r w:rsidR="004F4EF1">
              <w:t>A</w:t>
            </w:r>
            <w:r>
              <w:t xml:space="preserve">ccount 560.  </w:t>
            </w:r>
            <w:r w:rsidR="004F4EF1">
              <w:t xml:space="preserve">Following FERC’s guidance, in 2014 Entergy recorded NERC fees in FERC </w:t>
            </w:r>
            <w:r w:rsidR="004F4EF1" w:rsidRPr="00BC335F">
              <w:t xml:space="preserve">Account </w:t>
            </w:r>
            <w:r w:rsidRPr="00BC335F">
              <w:t xml:space="preserve">561.8 rather than </w:t>
            </w:r>
            <w:r w:rsidR="004F4EF1" w:rsidRPr="00BC335F">
              <w:t>A</w:t>
            </w:r>
            <w:r w:rsidRPr="00BC335F">
              <w:t>ccount 560</w:t>
            </w:r>
            <w:r w:rsidR="004F4EF1" w:rsidRPr="00BC335F">
              <w:t>.</w:t>
            </w:r>
          </w:p>
          <w:p w:rsidR="00426A13" w:rsidRPr="00783AB0" w:rsidRDefault="00426A13" w:rsidP="00426A13">
            <w:pPr>
              <w:pStyle w:val="ListParagraph"/>
              <w:rPr>
                <w:szCs w:val="24"/>
              </w:rPr>
            </w:pPr>
          </w:p>
        </w:tc>
      </w:tr>
      <w:tr w:rsidR="004666CE" w:rsidTr="00471EC9">
        <w:tc>
          <w:tcPr>
            <w:tcW w:w="741" w:type="dxa"/>
            <w:shd w:val="clear" w:color="auto" w:fill="D9D9D9" w:themeFill="background1" w:themeFillShade="D9"/>
          </w:tcPr>
          <w:p w:rsidR="004666CE" w:rsidRDefault="00783AB0" w:rsidP="00DB78BD">
            <w:r>
              <w:t>iii.</w:t>
            </w:r>
          </w:p>
        </w:tc>
        <w:tc>
          <w:tcPr>
            <w:tcW w:w="7269" w:type="dxa"/>
            <w:shd w:val="clear" w:color="auto" w:fill="D9D9D9" w:themeFill="background1" w:themeFillShade="D9"/>
          </w:tcPr>
          <w:p w:rsidR="004666CE" w:rsidRDefault="00783AB0" w:rsidP="00DB78BD">
            <w:r>
              <w:rPr>
                <w:szCs w:val="24"/>
              </w:rPr>
              <w:t>Correction of errors and prior period adjustments that impact the revenue requirement</w:t>
            </w:r>
          </w:p>
        </w:tc>
      </w:tr>
      <w:tr w:rsidR="00783AB0" w:rsidTr="00471EC9">
        <w:tc>
          <w:tcPr>
            <w:tcW w:w="741" w:type="dxa"/>
            <w:tcBorders>
              <w:bottom w:val="single" w:sz="4" w:space="0" w:color="auto"/>
            </w:tcBorders>
          </w:tcPr>
          <w:p w:rsidR="00783AB0" w:rsidRDefault="00783AB0" w:rsidP="00DB78BD"/>
        </w:tc>
        <w:tc>
          <w:tcPr>
            <w:tcW w:w="7269" w:type="dxa"/>
            <w:tcBorders>
              <w:bottom w:val="single" w:sz="4" w:space="0" w:color="auto"/>
            </w:tcBorders>
          </w:tcPr>
          <w:p w:rsidR="00783AB0" w:rsidRPr="00FC6D82" w:rsidRDefault="00FC6D82" w:rsidP="00BC335F">
            <w:pPr>
              <w:pStyle w:val="ListParagraph"/>
              <w:numPr>
                <w:ilvl w:val="0"/>
                <w:numId w:val="1"/>
              </w:numPr>
              <w:rPr>
                <w:szCs w:val="24"/>
              </w:rPr>
            </w:pPr>
            <w:r w:rsidRPr="00FC6D82">
              <w:rPr>
                <w:szCs w:val="24"/>
              </w:rPr>
              <w:t xml:space="preserve">In 2014, Entergy Mississippi corrected an error in </w:t>
            </w:r>
            <w:r>
              <w:rPr>
                <w:szCs w:val="24"/>
              </w:rPr>
              <w:t xml:space="preserve">the </w:t>
            </w:r>
            <w:r w:rsidRPr="00FC6D82">
              <w:rPr>
                <w:szCs w:val="24"/>
              </w:rPr>
              <w:t xml:space="preserve">revenue requirement allocation for a joint transmission owner, resulting in additional revenues recorded in </w:t>
            </w:r>
            <w:r w:rsidR="00BC335F">
              <w:rPr>
                <w:szCs w:val="24"/>
              </w:rPr>
              <w:t>A</w:t>
            </w:r>
            <w:r w:rsidRPr="00FC6D82">
              <w:rPr>
                <w:szCs w:val="24"/>
              </w:rPr>
              <w:t>ccount</w:t>
            </w:r>
            <w:r w:rsidR="00BC335F">
              <w:rPr>
                <w:szCs w:val="24"/>
              </w:rPr>
              <w:t>s</w:t>
            </w:r>
            <w:r w:rsidRPr="00FC6D82">
              <w:rPr>
                <w:szCs w:val="24"/>
              </w:rPr>
              <w:t xml:space="preserve"> 456136, 456137, 456138, and 456139.</w:t>
            </w:r>
          </w:p>
        </w:tc>
      </w:tr>
      <w:tr w:rsidR="00783AB0" w:rsidTr="00471EC9">
        <w:tc>
          <w:tcPr>
            <w:tcW w:w="741" w:type="dxa"/>
            <w:shd w:val="clear" w:color="auto" w:fill="D9D9D9" w:themeFill="background1" w:themeFillShade="D9"/>
          </w:tcPr>
          <w:p w:rsidR="00783AB0" w:rsidRDefault="00783AB0" w:rsidP="00DB78BD">
            <w:r>
              <w:t>iv.</w:t>
            </w:r>
          </w:p>
        </w:tc>
        <w:tc>
          <w:tcPr>
            <w:tcW w:w="7269" w:type="dxa"/>
            <w:shd w:val="clear" w:color="auto" w:fill="D9D9D9" w:themeFill="background1" w:themeFillShade="D9"/>
          </w:tcPr>
          <w:p w:rsidR="00783AB0" w:rsidRDefault="00783AB0" w:rsidP="00783AB0">
            <w:pPr>
              <w:rPr>
                <w:szCs w:val="24"/>
              </w:rPr>
            </w:pPr>
            <w:r>
              <w:rPr>
                <w:szCs w:val="24"/>
              </w:rPr>
              <w:t>The implementation of new estimation methods or policies that change prior estimates</w:t>
            </w:r>
          </w:p>
        </w:tc>
      </w:tr>
      <w:tr w:rsidR="00783AB0" w:rsidTr="00471EC9">
        <w:tc>
          <w:tcPr>
            <w:tcW w:w="741" w:type="dxa"/>
            <w:tcBorders>
              <w:bottom w:val="single" w:sz="4" w:space="0" w:color="auto"/>
            </w:tcBorders>
          </w:tcPr>
          <w:p w:rsidR="00783AB0" w:rsidRDefault="00783AB0" w:rsidP="00DB78BD"/>
        </w:tc>
        <w:tc>
          <w:tcPr>
            <w:tcW w:w="7269" w:type="dxa"/>
            <w:tcBorders>
              <w:bottom w:val="single" w:sz="4" w:space="0" w:color="auto"/>
            </w:tcBorders>
          </w:tcPr>
          <w:p w:rsidR="00D01A75" w:rsidRDefault="00D01A75" w:rsidP="00D01A75">
            <w:pPr>
              <w:pStyle w:val="ListParagraph"/>
              <w:numPr>
                <w:ilvl w:val="0"/>
                <w:numId w:val="1"/>
              </w:numPr>
            </w:pPr>
            <w:r w:rsidRPr="00BC335F">
              <w:t xml:space="preserve">In March 2014, </w:t>
            </w:r>
            <w:r w:rsidR="004F4EF1" w:rsidRPr="00BC335F">
              <w:t xml:space="preserve">Entergy began recording </w:t>
            </w:r>
            <w:r w:rsidRPr="00BC335F">
              <w:t>charges related to coordinating community relations and educational services activities</w:t>
            </w:r>
            <w:r w:rsidR="00945C40" w:rsidRPr="00BC335F">
              <w:t xml:space="preserve"> </w:t>
            </w:r>
            <w:r w:rsidRPr="00BC335F">
              <w:t xml:space="preserve">in </w:t>
            </w:r>
            <w:r w:rsidR="004F4EF1" w:rsidRPr="00BC335F">
              <w:t>C</w:t>
            </w:r>
            <w:r w:rsidRPr="00BC335F">
              <w:t xml:space="preserve">ustomer </w:t>
            </w:r>
            <w:r w:rsidR="004F4EF1" w:rsidRPr="00BC335F">
              <w:t>S</w:t>
            </w:r>
            <w:r w:rsidRPr="00BC335F">
              <w:t xml:space="preserve">ervice </w:t>
            </w:r>
            <w:r w:rsidR="004F4EF1" w:rsidRPr="00BC335F">
              <w:t>A</w:t>
            </w:r>
            <w:r w:rsidRPr="00BC335F">
              <w:t xml:space="preserve">ccount 910.  Prior to March 2014, </w:t>
            </w:r>
            <w:r w:rsidR="004F4EF1" w:rsidRPr="00BC335F">
              <w:t xml:space="preserve">Entergy recorded </w:t>
            </w:r>
            <w:r w:rsidRPr="00BC335F">
              <w:t xml:space="preserve">these costs in </w:t>
            </w:r>
            <w:r w:rsidR="004F4EF1" w:rsidRPr="00BC335F">
              <w:t>A</w:t>
            </w:r>
            <w:r w:rsidRPr="00BC335F">
              <w:t>ccount 930.2</w:t>
            </w:r>
            <w:r w:rsidR="00945C40" w:rsidRPr="00BC335F">
              <w:t xml:space="preserve">.  </w:t>
            </w:r>
          </w:p>
          <w:p w:rsidR="00945C40" w:rsidRDefault="00945C40" w:rsidP="00945C40">
            <w:pPr>
              <w:pStyle w:val="ListParagraph"/>
              <w:rPr>
                <w:rFonts w:asciiTheme="minorHAnsi" w:hAnsiTheme="minorHAnsi" w:cstheme="minorHAnsi"/>
              </w:rPr>
            </w:pPr>
          </w:p>
          <w:p w:rsidR="00BC335F" w:rsidRPr="00BC335F" w:rsidRDefault="00BC335F" w:rsidP="00945C40">
            <w:pPr>
              <w:pStyle w:val="ListParagraph"/>
              <w:rPr>
                <w:rFonts w:asciiTheme="minorHAnsi" w:hAnsiTheme="minorHAnsi" w:cstheme="minorHAnsi"/>
              </w:rPr>
            </w:pPr>
          </w:p>
          <w:p w:rsidR="007174C2" w:rsidRPr="00BC335F" w:rsidRDefault="0080622B" w:rsidP="00BC335F">
            <w:pPr>
              <w:pStyle w:val="ListParagraph"/>
              <w:keepNext/>
              <w:keepLines/>
              <w:numPr>
                <w:ilvl w:val="0"/>
                <w:numId w:val="1"/>
              </w:numPr>
            </w:pPr>
            <w:r w:rsidRPr="00BC335F">
              <w:lastRenderedPageBreak/>
              <w:t xml:space="preserve">In </w:t>
            </w:r>
            <w:r w:rsidR="007174C2" w:rsidRPr="00BC335F">
              <w:t>January 2014, E</w:t>
            </w:r>
            <w:r w:rsidR="00BC335F">
              <w:t xml:space="preserve">ntergy Arkansas, Inc. </w:t>
            </w:r>
            <w:r w:rsidR="007174C2" w:rsidRPr="00BC335F">
              <w:t xml:space="preserve">began </w:t>
            </w:r>
            <w:r w:rsidR="00ED0E9B" w:rsidRPr="00BC335F">
              <w:t xml:space="preserve">recording the amortization of previously deferred storm costs recorded in Account 228100 to Accounts 571 and 593.  The amortization of carrying charges associated with the storm costs deferral recorded in Account 228101 are being amortized to Account 407364.  </w:t>
            </w:r>
            <w:r w:rsidR="007174C2" w:rsidRPr="00BC335F">
              <w:t xml:space="preserve">Prior to 2014, carrying charges </w:t>
            </w:r>
            <w:r w:rsidR="00ED0E9B" w:rsidRPr="00BC335F">
              <w:t xml:space="preserve">for storm deferral amortization </w:t>
            </w:r>
            <w:r w:rsidR="007174C2" w:rsidRPr="00BC335F">
              <w:t xml:space="preserve">were included in the storm reserve and recorded in </w:t>
            </w:r>
            <w:r w:rsidR="00D440AD" w:rsidRPr="00BC335F">
              <w:t>A</w:t>
            </w:r>
            <w:r w:rsidR="007174C2" w:rsidRPr="00BC335F">
              <w:t xml:space="preserve">ccount 924. </w:t>
            </w:r>
          </w:p>
          <w:p w:rsidR="00CB40E6" w:rsidRPr="00BC335F" w:rsidRDefault="00CB40E6" w:rsidP="00CB40E6">
            <w:pPr>
              <w:pStyle w:val="ListParagraph"/>
              <w:rPr>
                <w:szCs w:val="24"/>
              </w:rPr>
            </w:pPr>
          </w:p>
        </w:tc>
      </w:tr>
      <w:tr w:rsidR="00783AB0" w:rsidTr="00471EC9">
        <w:tc>
          <w:tcPr>
            <w:tcW w:w="741" w:type="dxa"/>
            <w:tcBorders>
              <w:bottom w:val="single" w:sz="4" w:space="0" w:color="auto"/>
            </w:tcBorders>
          </w:tcPr>
          <w:p w:rsidR="00783AB0" w:rsidRDefault="00783AB0" w:rsidP="00DB78BD"/>
        </w:tc>
        <w:tc>
          <w:tcPr>
            <w:tcW w:w="7269" w:type="dxa"/>
            <w:tcBorders>
              <w:bottom w:val="single" w:sz="4" w:space="0" w:color="auto"/>
            </w:tcBorders>
          </w:tcPr>
          <w:p w:rsidR="00783AB0" w:rsidRDefault="00783AB0" w:rsidP="00DB78BD">
            <w:pPr>
              <w:rPr>
                <w:szCs w:val="24"/>
              </w:rPr>
            </w:pPr>
          </w:p>
        </w:tc>
      </w:tr>
      <w:tr w:rsidR="00783AB0" w:rsidTr="00471EC9">
        <w:tc>
          <w:tcPr>
            <w:tcW w:w="741" w:type="dxa"/>
            <w:shd w:val="clear" w:color="auto" w:fill="D9D9D9" w:themeFill="background1" w:themeFillShade="D9"/>
          </w:tcPr>
          <w:p w:rsidR="00783AB0" w:rsidRDefault="00783AB0" w:rsidP="00DB78BD">
            <w:r>
              <w:t>v.</w:t>
            </w:r>
          </w:p>
        </w:tc>
        <w:tc>
          <w:tcPr>
            <w:tcW w:w="7269" w:type="dxa"/>
            <w:shd w:val="clear" w:color="auto" w:fill="D9D9D9" w:themeFill="background1" w:themeFillShade="D9"/>
          </w:tcPr>
          <w:p w:rsidR="00783AB0" w:rsidRDefault="00471EC9" w:rsidP="00DB78BD">
            <w:pPr>
              <w:rPr>
                <w:szCs w:val="24"/>
              </w:rPr>
            </w:pPr>
            <w:r>
              <w:rPr>
                <w:szCs w:val="24"/>
              </w:rPr>
              <w:t>Changes to income tax elections</w:t>
            </w:r>
          </w:p>
        </w:tc>
      </w:tr>
      <w:tr w:rsidR="00783AB0" w:rsidTr="00471EC9">
        <w:tc>
          <w:tcPr>
            <w:tcW w:w="741" w:type="dxa"/>
          </w:tcPr>
          <w:p w:rsidR="00783AB0" w:rsidRDefault="00783AB0" w:rsidP="00DB78BD"/>
        </w:tc>
        <w:tc>
          <w:tcPr>
            <w:tcW w:w="7269" w:type="dxa"/>
          </w:tcPr>
          <w:p w:rsidR="00783AB0" w:rsidRPr="002270EF" w:rsidRDefault="00EE4754" w:rsidP="002270EF">
            <w:pPr>
              <w:pStyle w:val="ListParagraph"/>
              <w:numPr>
                <w:ilvl w:val="0"/>
                <w:numId w:val="3"/>
              </w:numPr>
              <w:rPr>
                <w:szCs w:val="24"/>
              </w:rPr>
            </w:pPr>
            <w:r w:rsidRPr="002270EF">
              <w:rPr>
                <w:szCs w:val="24"/>
              </w:rPr>
              <w:t>None for 2014</w:t>
            </w:r>
            <w:r w:rsidRPr="002270EF">
              <w:rPr>
                <w:szCs w:val="24"/>
              </w:rPr>
              <w:t>.</w:t>
            </w:r>
          </w:p>
        </w:tc>
      </w:tr>
    </w:tbl>
    <w:p w:rsidR="00DB78BD" w:rsidRDefault="00DB78BD" w:rsidP="00DB78BD"/>
    <w:p w:rsidR="00471EC9" w:rsidRDefault="00DB78BD" w:rsidP="00471EC9">
      <w:pPr>
        <w:ind w:left="1440" w:hanging="810"/>
        <w:rPr>
          <w:szCs w:val="24"/>
        </w:rPr>
      </w:pPr>
      <w:r>
        <w:rPr>
          <w:szCs w:val="24"/>
        </w:rPr>
        <w:t>b.</w:t>
      </w:r>
      <w:r>
        <w:rPr>
          <w:szCs w:val="24"/>
        </w:rPr>
        <w:tab/>
        <w:t>Identify items included in the formula rate at an amount other than on a historic cost basis (e.g., fair value adjustments)</w:t>
      </w:r>
    </w:p>
    <w:p w:rsidR="00471EC9" w:rsidRDefault="00471EC9" w:rsidP="00471EC9">
      <w:pPr>
        <w:ind w:left="1440" w:hanging="810"/>
        <w:rPr>
          <w:szCs w:val="24"/>
        </w:rPr>
      </w:pPr>
    </w:p>
    <w:tbl>
      <w:tblPr>
        <w:tblStyle w:val="TableGrid"/>
        <w:tblW w:w="8010" w:type="dxa"/>
        <w:tblInd w:w="1548" w:type="dxa"/>
        <w:tblLook w:val="04A0" w:firstRow="1" w:lastRow="0" w:firstColumn="1" w:lastColumn="0" w:noHBand="0" w:noVBand="1"/>
      </w:tblPr>
      <w:tblGrid>
        <w:gridCol w:w="741"/>
        <w:gridCol w:w="7269"/>
      </w:tblGrid>
      <w:tr w:rsidR="00471EC9" w:rsidTr="00471EC9">
        <w:tc>
          <w:tcPr>
            <w:tcW w:w="741" w:type="dxa"/>
            <w:shd w:val="clear" w:color="auto" w:fill="auto"/>
          </w:tcPr>
          <w:p w:rsidR="00471EC9" w:rsidRDefault="00471EC9" w:rsidP="000155D8"/>
        </w:tc>
        <w:tc>
          <w:tcPr>
            <w:tcW w:w="7269" w:type="dxa"/>
            <w:shd w:val="clear" w:color="auto" w:fill="auto"/>
          </w:tcPr>
          <w:p w:rsidR="00471EC9" w:rsidRDefault="00620407" w:rsidP="00620407">
            <w:pPr>
              <w:pStyle w:val="ListParagraph"/>
              <w:numPr>
                <w:ilvl w:val="0"/>
                <w:numId w:val="1"/>
              </w:numPr>
            </w:pPr>
            <w:r>
              <w:t xml:space="preserve">Forecasted transmission capital additions for the up-coming test year are included in the projected Attachment O revenue requirement but are trued-up in the subsequent Attachment O revenue requirement. </w:t>
            </w:r>
          </w:p>
        </w:tc>
      </w:tr>
    </w:tbl>
    <w:p w:rsidR="00471EC9" w:rsidRDefault="00471EC9" w:rsidP="00471EC9">
      <w:pPr>
        <w:ind w:left="1440" w:hanging="810"/>
        <w:rPr>
          <w:szCs w:val="24"/>
        </w:rPr>
      </w:pPr>
    </w:p>
    <w:p w:rsidR="00471EC9" w:rsidRDefault="00DB78BD" w:rsidP="00471EC9">
      <w:pPr>
        <w:ind w:left="1440" w:hanging="810"/>
        <w:rPr>
          <w:szCs w:val="24"/>
        </w:rPr>
      </w:pPr>
      <w:r>
        <w:rPr>
          <w:szCs w:val="24"/>
        </w:rPr>
        <w:t>c.</w:t>
      </w:r>
      <w:r>
        <w:rPr>
          <w:szCs w:val="24"/>
        </w:rPr>
        <w:tab/>
        <w:t>Identify any reorganization or merger transaction during the previous year and explain the effect of the accounting for such transaction(s) on inputs to the formula rate</w:t>
      </w:r>
    </w:p>
    <w:p w:rsidR="00471EC9" w:rsidRDefault="00471EC9" w:rsidP="00471EC9">
      <w:pPr>
        <w:ind w:left="1440" w:hanging="810"/>
        <w:rPr>
          <w:szCs w:val="24"/>
        </w:rPr>
      </w:pPr>
    </w:p>
    <w:tbl>
      <w:tblPr>
        <w:tblStyle w:val="TableGrid"/>
        <w:tblW w:w="8010" w:type="dxa"/>
        <w:tblInd w:w="1548" w:type="dxa"/>
        <w:tblLook w:val="04A0" w:firstRow="1" w:lastRow="0" w:firstColumn="1" w:lastColumn="0" w:noHBand="0" w:noVBand="1"/>
      </w:tblPr>
      <w:tblGrid>
        <w:gridCol w:w="741"/>
        <w:gridCol w:w="7269"/>
      </w:tblGrid>
      <w:tr w:rsidR="00471EC9" w:rsidTr="000155D8">
        <w:tc>
          <w:tcPr>
            <w:tcW w:w="741" w:type="dxa"/>
            <w:shd w:val="clear" w:color="auto" w:fill="auto"/>
          </w:tcPr>
          <w:p w:rsidR="00471EC9" w:rsidRDefault="00471EC9" w:rsidP="000155D8"/>
        </w:tc>
        <w:tc>
          <w:tcPr>
            <w:tcW w:w="7269" w:type="dxa"/>
            <w:shd w:val="clear" w:color="auto" w:fill="auto"/>
          </w:tcPr>
          <w:p w:rsidR="00D653B1" w:rsidRPr="00BC335F" w:rsidRDefault="00D653B1" w:rsidP="00D653B1">
            <w:pPr>
              <w:pStyle w:val="ListParagraph"/>
              <w:numPr>
                <w:ilvl w:val="0"/>
                <w:numId w:val="1"/>
              </w:numPr>
            </w:pPr>
            <w:r w:rsidRPr="00BC335F">
              <w:t>E</w:t>
            </w:r>
            <w:r w:rsidR="00BC335F">
              <w:t xml:space="preserve">ntergy Gulf States, L.L.C. and </w:t>
            </w:r>
            <w:r w:rsidRPr="00BC335F">
              <w:t>E</w:t>
            </w:r>
            <w:r w:rsidR="00BC335F">
              <w:t>ntergy Louisiana, LLC</w:t>
            </w:r>
            <w:r w:rsidRPr="00BC335F">
              <w:t xml:space="preserve"> merger </w:t>
            </w:r>
            <w:r w:rsidR="00F2092A" w:rsidRPr="00BC335F">
              <w:t xml:space="preserve">transaction </w:t>
            </w:r>
            <w:r w:rsidRPr="00BC335F">
              <w:t>costs were excluded from the formula rate</w:t>
            </w:r>
          </w:p>
          <w:p w:rsidR="00D653B1" w:rsidRPr="00BC335F" w:rsidRDefault="00BC335F" w:rsidP="00D653B1">
            <w:pPr>
              <w:pStyle w:val="ListParagraph"/>
              <w:numPr>
                <w:ilvl w:val="0"/>
                <w:numId w:val="1"/>
              </w:numPr>
            </w:pPr>
            <w:r w:rsidRPr="00BC335F">
              <w:t>E</w:t>
            </w:r>
            <w:r>
              <w:t>ntergy Louisiana, LLC</w:t>
            </w:r>
            <w:r w:rsidRPr="00BC335F">
              <w:t xml:space="preserve"> </w:t>
            </w:r>
            <w:r>
              <w:t xml:space="preserve">– </w:t>
            </w:r>
            <w:r w:rsidR="00D653B1" w:rsidRPr="00BC335F">
              <w:t>Algiers</w:t>
            </w:r>
            <w:r>
              <w:t xml:space="preserve"> and Entergy New Orleans, Inc.</w:t>
            </w:r>
            <w:r w:rsidR="00D653B1" w:rsidRPr="00BC335F">
              <w:t xml:space="preserve"> merger transaction costs were excluded from the formula rate</w:t>
            </w:r>
          </w:p>
          <w:p w:rsidR="00471EC9" w:rsidRDefault="00D653B1" w:rsidP="00BC335F">
            <w:pPr>
              <w:pStyle w:val="ListParagraph"/>
              <w:numPr>
                <w:ilvl w:val="0"/>
                <w:numId w:val="1"/>
              </w:numPr>
            </w:pPr>
            <w:r w:rsidRPr="00BC335F">
              <w:t>Entergy/ITC transaction costs were excluded from the formula rate</w:t>
            </w:r>
          </w:p>
        </w:tc>
      </w:tr>
    </w:tbl>
    <w:p w:rsidR="00471EC9" w:rsidRDefault="00471EC9" w:rsidP="00471EC9">
      <w:pPr>
        <w:ind w:left="1440" w:hanging="810"/>
        <w:rPr>
          <w:szCs w:val="24"/>
        </w:rPr>
      </w:pPr>
    </w:p>
    <w:p w:rsidR="00DB78BD" w:rsidRDefault="00DB78BD" w:rsidP="00471EC9">
      <w:pPr>
        <w:ind w:left="1440" w:hanging="810"/>
        <w:rPr>
          <w:szCs w:val="24"/>
        </w:rPr>
      </w:pPr>
      <w:r>
        <w:rPr>
          <w:szCs w:val="24"/>
        </w:rPr>
        <w:t>d.</w:t>
      </w:r>
      <w:r w:rsidR="00471EC9">
        <w:rPr>
          <w:szCs w:val="24"/>
        </w:rPr>
        <w:tab/>
      </w:r>
      <w:r>
        <w:rPr>
          <w:szCs w:val="24"/>
        </w:rPr>
        <w:t>Provide, for each item identified pursuant to items II.D.8.a - II.D.8.c of these protocols, a narrative explanation of the individual impact of such changes on charges billed under the formula rate.</w:t>
      </w:r>
    </w:p>
    <w:p w:rsidR="00471EC9" w:rsidRDefault="00471EC9" w:rsidP="00471EC9">
      <w:pPr>
        <w:ind w:left="1440" w:hanging="810"/>
        <w:rPr>
          <w:szCs w:val="24"/>
        </w:rPr>
      </w:pPr>
    </w:p>
    <w:tbl>
      <w:tblPr>
        <w:tblStyle w:val="TableGrid"/>
        <w:tblW w:w="8010" w:type="dxa"/>
        <w:tblInd w:w="1548" w:type="dxa"/>
        <w:tblLook w:val="04A0" w:firstRow="1" w:lastRow="0" w:firstColumn="1" w:lastColumn="0" w:noHBand="0" w:noVBand="1"/>
      </w:tblPr>
      <w:tblGrid>
        <w:gridCol w:w="741"/>
        <w:gridCol w:w="7269"/>
      </w:tblGrid>
      <w:tr w:rsidR="00471EC9" w:rsidTr="000155D8">
        <w:tc>
          <w:tcPr>
            <w:tcW w:w="741" w:type="dxa"/>
            <w:shd w:val="clear" w:color="auto" w:fill="auto"/>
          </w:tcPr>
          <w:p w:rsidR="00471EC9" w:rsidRDefault="00471EC9" w:rsidP="000155D8"/>
        </w:tc>
        <w:tc>
          <w:tcPr>
            <w:tcW w:w="7269" w:type="dxa"/>
            <w:shd w:val="clear" w:color="auto" w:fill="auto"/>
          </w:tcPr>
          <w:p w:rsidR="00BD412E" w:rsidRDefault="006A69AF" w:rsidP="00C2752B">
            <w:pPr>
              <w:rPr>
                <w:szCs w:val="24"/>
              </w:rPr>
            </w:pPr>
            <w:r w:rsidRPr="00471EC9">
              <w:rPr>
                <w:szCs w:val="24"/>
              </w:rPr>
              <w:t>II.D.8</w:t>
            </w:r>
            <w:r>
              <w:rPr>
                <w:szCs w:val="24"/>
              </w:rPr>
              <w:t>.a.iv</w:t>
            </w:r>
            <w:r w:rsidR="00EE6CA1">
              <w:rPr>
                <w:szCs w:val="24"/>
              </w:rPr>
              <w:t xml:space="preserve"> – Accounting Changes: New estimation methods or policy changes</w:t>
            </w:r>
          </w:p>
          <w:p w:rsidR="00EE6CA1" w:rsidRPr="002270EF" w:rsidRDefault="00EE4754" w:rsidP="002270EF">
            <w:pPr>
              <w:pStyle w:val="ListParagraph"/>
              <w:numPr>
                <w:ilvl w:val="0"/>
                <w:numId w:val="2"/>
              </w:numPr>
              <w:ind w:left="681"/>
              <w:rPr>
                <w:szCs w:val="24"/>
              </w:rPr>
            </w:pPr>
            <w:r w:rsidRPr="002270EF">
              <w:rPr>
                <w:szCs w:val="24"/>
              </w:rPr>
              <w:t xml:space="preserve">See the descriptions for each individual change as it includes sufficient detail to assess the formula rate impact.  </w:t>
            </w:r>
          </w:p>
        </w:tc>
      </w:tr>
      <w:tr w:rsidR="00EE4754" w:rsidTr="000155D8">
        <w:tc>
          <w:tcPr>
            <w:tcW w:w="741" w:type="dxa"/>
            <w:shd w:val="clear" w:color="auto" w:fill="auto"/>
          </w:tcPr>
          <w:p w:rsidR="00EE4754" w:rsidRDefault="00EE4754" w:rsidP="000155D8"/>
        </w:tc>
        <w:tc>
          <w:tcPr>
            <w:tcW w:w="7269" w:type="dxa"/>
            <w:shd w:val="clear" w:color="auto" w:fill="auto"/>
          </w:tcPr>
          <w:p w:rsidR="00EE4754" w:rsidRPr="00471EC9" w:rsidRDefault="00EE4754" w:rsidP="00C2752B">
            <w:pPr>
              <w:rPr>
                <w:szCs w:val="24"/>
              </w:rPr>
            </w:pPr>
          </w:p>
        </w:tc>
      </w:tr>
    </w:tbl>
    <w:p w:rsidR="00471EC9" w:rsidRDefault="00471EC9" w:rsidP="00471EC9">
      <w:pPr>
        <w:ind w:left="1440" w:hanging="810"/>
        <w:rPr>
          <w:szCs w:val="24"/>
        </w:rPr>
      </w:pPr>
    </w:p>
    <w:p w:rsidR="0062534E" w:rsidRDefault="0062534E"/>
    <w:sectPr w:rsidR="006253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3E" w:rsidRDefault="001C5A3E" w:rsidP="001C5A3E">
      <w:r>
        <w:separator/>
      </w:r>
    </w:p>
  </w:endnote>
  <w:endnote w:type="continuationSeparator" w:id="0">
    <w:p w:rsidR="001C5A3E" w:rsidRDefault="001C5A3E" w:rsidP="001C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3E" w:rsidRDefault="001C5A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3E" w:rsidRDefault="001C5A3E">
    <w:pPr>
      <w:pStyle w:val="Footer"/>
      <w:jc w:val="center"/>
    </w:pPr>
    <w:sdt>
      <w:sdtPr>
        <w:id w:val="1246460365"/>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Pr>
            <w:noProof/>
          </w:rPr>
          <w:t>2</w:t>
        </w:r>
        <w:r>
          <w:rPr>
            <w:noProof/>
          </w:rPr>
          <w:fldChar w:fldCharType="end"/>
        </w:r>
      </w:sdtContent>
    </w:sdt>
    <w:r>
      <w:rPr>
        <w:noProof/>
      </w:rPr>
      <w:t xml:space="preserve"> of 2</w:t>
    </w:r>
  </w:p>
  <w:p w:rsidR="001C5A3E" w:rsidRDefault="001C5A3E">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3E" w:rsidRDefault="001C5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3E" w:rsidRDefault="001C5A3E" w:rsidP="001C5A3E">
      <w:r>
        <w:separator/>
      </w:r>
    </w:p>
  </w:footnote>
  <w:footnote w:type="continuationSeparator" w:id="0">
    <w:p w:rsidR="001C5A3E" w:rsidRDefault="001C5A3E" w:rsidP="001C5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3E" w:rsidRDefault="001C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3E" w:rsidRDefault="001C5A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3E" w:rsidRDefault="001C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230C2"/>
    <w:multiLevelType w:val="hybridMultilevel"/>
    <w:tmpl w:val="B2284F3E"/>
    <w:lvl w:ilvl="0" w:tplc="67B8848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F11979"/>
    <w:multiLevelType w:val="hybridMultilevel"/>
    <w:tmpl w:val="EB888570"/>
    <w:lvl w:ilvl="0" w:tplc="67B8848E">
      <w:start w:val="5"/>
      <w:numFmt w:val="bullet"/>
      <w:lvlText w:val="-"/>
      <w:lvlJc w:val="left"/>
      <w:pPr>
        <w:ind w:left="861" w:hanging="360"/>
      </w:pPr>
      <w:rPr>
        <w:rFonts w:ascii="Calibri" w:eastAsia="Times New Roman" w:hAnsi="Calibri" w:cs="Calibri"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
    <w:nsid w:val="57773A68"/>
    <w:multiLevelType w:val="hybridMultilevel"/>
    <w:tmpl w:val="D27679FA"/>
    <w:lvl w:ilvl="0" w:tplc="67B8848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BD"/>
    <w:rsid w:val="00102DF7"/>
    <w:rsid w:val="00106A17"/>
    <w:rsid w:val="00181C40"/>
    <w:rsid w:val="001C5A3E"/>
    <w:rsid w:val="002270EF"/>
    <w:rsid w:val="00296535"/>
    <w:rsid w:val="002E216D"/>
    <w:rsid w:val="003B4900"/>
    <w:rsid w:val="003B6D5B"/>
    <w:rsid w:val="004250DA"/>
    <w:rsid w:val="004268C2"/>
    <w:rsid w:val="00426A13"/>
    <w:rsid w:val="004666CE"/>
    <w:rsid w:val="00471EC9"/>
    <w:rsid w:val="004F494B"/>
    <w:rsid w:val="004F4EF1"/>
    <w:rsid w:val="00545C36"/>
    <w:rsid w:val="00580637"/>
    <w:rsid w:val="00620407"/>
    <w:rsid w:val="0062534E"/>
    <w:rsid w:val="006612C4"/>
    <w:rsid w:val="006A69AF"/>
    <w:rsid w:val="007174C2"/>
    <w:rsid w:val="00783AB0"/>
    <w:rsid w:val="0079421D"/>
    <w:rsid w:val="007E08B5"/>
    <w:rsid w:val="0080622B"/>
    <w:rsid w:val="00831F56"/>
    <w:rsid w:val="00867A80"/>
    <w:rsid w:val="008930C7"/>
    <w:rsid w:val="00945C40"/>
    <w:rsid w:val="00996189"/>
    <w:rsid w:val="00A17203"/>
    <w:rsid w:val="00A24D51"/>
    <w:rsid w:val="00A47EC1"/>
    <w:rsid w:val="00A52DDE"/>
    <w:rsid w:val="00A767CF"/>
    <w:rsid w:val="00AD4E48"/>
    <w:rsid w:val="00AF7D86"/>
    <w:rsid w:val="00B56D49"/>
    <w:rsid w:val="00B704CF"/>
    <w:rsid w:val="00BB3F87"/>
    <w:rsid w:val="00BC335F"/>
    <w:rsid w:val="00BD412E"/>
    <w:rsid w:val="00C069A3"/>
    <w:rsid w:val="00C2752B"/>
    <w:rsid w:val="00CA3DBA"/>
    <w:rsid w:val="00CB40E6"/>
    <w:rsid w:val="00D01A75"/>
    <w:rsid w:val="00D3640E"/>
    <w:rsid w:val="00D440AD"/>
    <w:rsid w:val="00D653B1"/>
    <w:rsid w:val="00DB6ADD"/>
    <w:rsid w:val="00DB78BD"/>
    <w:rsid w:val="00DC7282"/>
    <w:rsid w:val="00ED0E9B"/>
    <w:rsid w:val="00EE4754"/>
    <w:rsid w:val="00EE6CA1"/>
    <w:rsid w:val="00F2092A"/>
    <w:rsid w:val="00FC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B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AB0"/>
    <w:pPr>
      <w:ind w:left="720"/>
      <w:contextualSpacing/>
    </w:pPr>
  </w:style>
  <w:style w:type="character" w:styleId="CommentReference">
    <w:name w:val="annotation reference"/>
    <w:basedOn w:val="DefaultParagraphFont"/>
    <w:uiPriority w:val="99"/>
    <w:semiHidden/>
    <w:unhideWhenUsed/>
    <w:rsid w:val="00D440AD"/>
    <w:rPr>
      <w:sz w:val="16"/>
      <w:szCs w:val="16"/>
    </w:rPr>
  </w:style>
  <w:style w:type="paragraph" w:styleId="CommentText">
    <w:name w:val="annotation text"/>
    <w:basedOn w:val="Normal"/>
    <w:link w:val="CommentTextChar"/>
    <w:uiPriority w:val="99"/>
    <w:semiHidden/>
    <w:unhideWhenUsed/>
    <w:rsid w:val="00D440AD"/>
    <w:rPr>
      <w:sz w:val="20"/>
      <w:szCs w:val="20"/>
    </w:rPr>
  </w:style>
  <w:style w:type="character" w:customStyle="1" w:styleId="CommentTextChar">
    <w:name w:val="Comment Text Char"/>
    <w:basedOn w:val="DefaultParagraphFont"/>
    <w:link w:val="CommentText"/>
    <w:uiPriority w:val="99"/>
    <w:semiHidden/>
    <w:rsid w:val="00D440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40AD"/>
    <w:rPr>
      <w:b/>
      <w:bCs/>
    </w:rPr>
  </w:style>
  <w:style w:type="character" w:customStyle="1" w:styleId="CommentSubjectChar">
    <w:name w:val="Comment Subject Char"/>
    <w:basedOn w:val="CommentTextChar"/>
    <w:link w:val="CommentSubject"/>
    <w:uiPriority w:val="99"/>
    <w:semiHidden/>
    <w:rsid w:val="00D440AD"/>
    <w:rPr>
      <w:rFonts w:ascii="Calibri" w:eastAsia="Times New Roman" w:hAnsi="Calibri" w:cs="Times New Roman"/>
      <w:b/>
      <w:bCs/>
      <w:sz w:val="20"/>
      <w:szCs w:val="20"/>
    </w:rPr>
  </w:style>
  <w:style w:type="paragraph" w:styleId="Revision">
    <w:name w:val="Revision"/>
    <w:hidden/>
    <w:uiPriority w:val="99"/>
    <w:semiHidden/>
    <w:rsid w:val="00D440AD"/>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D440AD"/>
    <w:rPr>
      <w:rFonts w:ascii="Tahoma" w:hAnsi="Tahoma" w:cs="Tahoma"/>
      <w:sz w:val="16"/>
      <w:szCs w:val="16"/>
    </w:rPr>
  </w:style>
  <w:style w:type="character" w:customStyle="1" w:styleId="BalloonTextChar">
    <w:name w:val="Balloon Text Char"/>
    <w:basedOn w:val="DefaultParagraphFont"/>
    <w:link w:val="BalloonText"/>
    <w:uiPriority w:val="99"/>
    <w:semiHidden/>
    <w:rsid w:val="00D440AD"/>
    <w:rPr>
      <w:rFonts w:ascii="Tahoma" w:eastAsia="Times New Roman" w:hAnsi="Tahoma" w:cs="Tahoma"/>
      <w:sz w:val="16"/>
      <w:szCs w:val="16"/>
    </w:rPr>
  </w:style>
  <w:style w:type="paragraph" w:styleId="Header">
    <w:name w:val="header"/>
    <w:basedOn w:val="Normal"/>
    <w:link w:val="HeaderChar"/>
    <w:uiPriority w:val="99"/>
    <w:unhideWhenUsed/>
    <w:rsid w:val="001C5A3E"/>
    <w:pPr>
      <w:tabs>
        <w:tab w:val="center" w:pos="4680"/>
        <w:tab w:val="right" w:pos="9360"/>
      </w:tabs>
    </w:pPr>
  </w:style>
  <w:style w:type="character" w:customStyle="1" w:styleId="HeaderChar">
    <w:name w:val="Header Char"/>
    <w:basedOn w:val="DefaultParagraphFont"/>
    <w:link w:val="Header"/>
    <w:uiPriority w:val="99"/>
    <w:rsid w:val="001C5A3E"/>
    <w:rPr>
      <w:rFonts w:ascii="Calibri" w:eastAsia="Times New Roman" w:hAnsi="Calibri" w:cs="Times New Roman"/>
    </w:rPr>
  </w:style>
  <w:style w:type="paragraph" w:styleId="Footer">
    <w:name w:val="footer"/>
    <w:basedOn w:val="Normal"/>
    <w:link w:val="FooterChar"/>
    <w:uiPriority w:val="99"/>
    <w:unhideWhenUsed/>
    <w:rsid w:val="001C5A3E"/>
    <w:pPr>
      <w:tabs>
        <w:tab w:val="center" w:pos="4680"/>
        <w:tab w:val="right" w:pos="9360"/>
      </w:tabs>
    </w:pPr>
  </w:style>
  <w:style w:type="character" w:customStyle="1" w:styleId="FooterChar">
    <w:name w:val="Footer Char"/>
    <w:basedOn w:val="DefaultParagraphFont"/>
    <w:link w:val="Footer"/>
    <w:uiPriority w:val="99"/>
    <w:rsid w:val="001C5A3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B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AB0"/>
    <w:pPr>
      <w:ind w:left="720"/>
      <w:contextualSpacing/>
    </w:pPr>
  </w:style>
  <w:style w:type="character" w:styleId="CommentReference">
    <w:name w:val="annotation reference"/>
    <w:basedOn w:val="DefaultParagraphFont"/>
    <w:uiPriority w:val="99"/>
    <w:semiHidden/>
    <w:unhideWhenUsed/>
    <w:rsid w:val="00D440AD"/>
    <w:rPr>
      <w:sz w:val="16"/>
      <w:szCs w:val="16"/>
    </w:rPr>
  </w:style>
  <w:style w:type="paragraph" w:styleId="CommentText">
    <w:name w:val="annotation text"/>
    <w:basedOn w:val="Normal"/>
    <w:link w:val="CommentTextChar"/>
    <w:uiPriority w:val="99"/>
    <w:semiHidden/>
    <w:unhideWhenUsed/>
    <w:rsid w:val="00D440AD"/>
    <w:rPr>
      <w:sz w:val="20"/>
      <w:szCs w:val="20"/>
    </w:rPr>
  </w:style>
  <w:style w:type="character" w:customStyle="1" w:styleId="CommentTextChar">
    <w:name w:val="Comment Text Char"/>
    <w:basedOn w:val="DefaultParagraphFont"/>
    <w:link w:val="CommentText"/>
    <w:uiPriority w:val="99"/>
    <w:semiHidden/>
    <w:rsid w:val="00D440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40AD"/>
    <w:rPr>
      <w:b/>
      <w:bCs/>
    </w:rPr>
  </w:style>
  <w:style w:type="character" w:customStyle="1" w:styleId="CommentSubjectChar">
    <w:name w:val="Comment Subject Char"/>
    <w:basedOn w:val="CommentTextChar"/>
    <w:link w:val="CommentSubject"/>
    <w:uiPriority w:val="99"/>
    <w:semiHidden/>
    <w:rsid w:val="00D440AD"/>
    <w:rPr>
      <w:rFonts w:ascii="Calibri" w:eastAsia="Times New Roman" w:hAnsi="Calibri" w:cs="Times New Roman"/>
      <w:b/>
      <w:bCs/>
      <w:sz w:val="20"/>
      <w:szCs w:val="20"/>
    </w:rPr>
  </w:style>
  <w:style w:type="paragraph" w:styleId="Revision">
    <w:name w:val="Revision"/>
    <w:hidden/>
    <w:uiPriority w:val="99"/>
    <w:semiHidden/>
    <w:rsid w:val="00D440AD"/>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D440AD"/>
    <w:rPr>
      <w:rFonts w:ascii="Tahoma" w:hAnsi="Tahoma" w:cs="Tahoma"/>
      <w:sz w:val="16"/>
      <w:szCs w:val="16"/>
    </w:rPr>
  </w:style>
  <w:style w:type="character" w:customStyle="1" w:styleId="BalloonTextChar">
    <w:name w:val="Balloon Text Char"/>
    <w:basedOn w:val="DefaultParagraphFont"/>
    <w:link w:val="BalloonText"/>
    <w:uiPriority w:val="99"/>
    <w:semiHidden/>
    <w:rsid w:val="00D440AD"/>
    <w:rPr>
      <w:rFonts w:ascii="Tahoma" w:eastAsia="Times New Roman" w:hAnsi="Tahoma" w:cs="Tahoma"/>
      <w:sz w:val="16"/>
      <w:szCs w:val="16"/>
    </w:rPr>
  </w:style>
  <w:style w:type="paragraph" w:styleId="Header">
    <w:name w:val="header"/>
    <w:basedOn w:val="Normal"/>
    <w:link w:val="HeaderChar"/>
    <w:uiPriority w:val="99"/>
    <w:unhideWhenUsed/>
    <w:rsid w:val="001C5A3E"/>
    <w:pPr>
      <w:tabs>
        <w:tab w:val="center" w:pos="4680"/>
        <w:tab w:val="right" w:pos="9360"/>
      </w:tabs>
    </w:pPr>
  </w:style>
  <w:style w:type="character" w:customStyle="1" w:styleId="HeaderChar">
    <w:name w:val="Header Char"/>
    <w:basedOn w:val="DefaultParagraphFont"/>
    <w:link w:val="Header"/>
    <w:uiPriority w:val="99"/>
    <w:rsid w:val="001C5A3E"/>
    <w:rPr>
      <w:rFonts w:ascii="Calibri" w:eastAsia="Times New Roman" w:hAnsi="Calibri" w:cs="Times New Roman"/>
    </w:rPr>
  </w:style>
  <w:style w:type="paragraph" w:styleId="Footer">
    <w:name w:val="footer"/>
    <w:basedOn w:val="Normal"/>
    <w:link w:val="FooterChar"/>
    <w:uiPriority w:val="99"/>
    <w:unhideWhenUsed/>
    <w:rsid w:val="001C5A3E"/>
    <w:pPr>
      <w:tabs>
        <w:tab w:val="center" w:pos="4680"/>
        <w:tab w:val="right" w:pos="9360"/>
      </w:tabs>
    </w:pPr>
  </w:style>
  <w:style w:type="character" w:customStyle="1" w:styleId="FooterChar">
    <w:name w:val="Footer Char"/>
    <w:basedOn w:val="DefaultParagraphFont"/>
    <w:link w:val="Footer"/>
    <w:uiPriority w:val="99"/>
    <w:rsid w:val="001C5A3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4112">
      <w:bodyDiv w:val="1"/>
      <w:marLeft w:val="0"/>
      <w:marRight w:val="0"/>
      <w:marTop w:val="0"/>
      <w:marBottom w:val="0"/>
      <w:divBdr>
        <w:top w:val="none" w:sz="0" w:space="0" w:color="auto"/>
        <w:left w:val="none" w:sz="0" w:space="0" w:color="auto"/>
        <w:bottom w:val="none" w:sz="0" w:space="0" w:color="auto"/>
        <w:right w:val="none" w:sz="0" w:space="0" w:color="auto"/>
      </w:divBdr>
    </w:div>
    <w:div w:id="358817669">
      <w:bodyDiv w:val="1"/>
      <w:marLeft w:val="0"/>
      <w:marRight w:val="0"/>
      <w:marTop w:val="0"/>
      <w:marBottom w:val="0"/>
      <w:divBdr>
        <w:top w:val="none" w:sz="0" w:space="0" w:color="auto"/>
        <w:left w:val="none" w:sz="0" w:space="0" w:color="auto"/>
        <w:bottom w:val="none" w:sz="0" w:space="0" w:color="auto"/>
        <w:right w:val="none" w:sz="0" w:space="0" w:color="auto"/>
      </w:divBdr>
    </w:div>
    <w:div w:id="632296020">
      <w:bodyDiv w:val="1"/>
      <w:marLeft w:val="0"/>
      <w:marRight w:val="0"/>
      <w:marTop w:val="0"/>
      <w:marBottom w:val="0"/>
      <w:divBdr>
        <w:top w:val="none" w:sz="0" w:space="0" w:color="auto"/>
        <w:left w:val="none" w:sz="0" w:space="0" w:color="auto"/>
        <w:bottom w:val="none" w:sz="0" w:space="0" w:color="auto"/>
        <w:right w:val="none" w:sz="0" w:space="0" w:color="auto"/>
      </w:divBdr>
    </w:div>
    <w:div w:id="783616852">
      <w:bodyDiv w:val="1"/>
      <w:marLeft w:val="0"/>
      <w:marRight w:val="0"/>
      <w:marTop w:val="0"/>
      <w:marBottom w:val="0"/>
      <w:divBdr>
        <w:top w:val="none" w:sz="0" w:space="0" w:color="auto"/>
        <w:left w:val="none" w:sz="0" w:space="0" w:color="auto"/>
        <w:bottom w:val="none" w:sz="0" w:space="0" w:color="auto"/>
        <w:right w:val="none" w:sz="0" w:space="0" w:color="auto"/>
      </w:divBdr>
    </w:div>
    <w:div w:id="1942446349">
      <w:bodyDiv w:val="1"/>
      <w:marLeft w:val="0"/>
      <w:marRight w:val="0"/>
      <w:marTop w:val="0"/>
      <w:marBottom w:val="0"/>
      <w:divBdr>
        <w:top w:val="none" w:sz="0" w:space="0" w:color="auto"/>
        <w:left w:val="none" w:sz="0" w:space="0" w:color="auto"/>
        <w:bottom w:val="none" w:sz="0" w:space="0" w:color="auto"/>
        <w:right w:val="none" w:sz="0" w:space="0" w:color="auto"/>
      </w:divBdr>
    </w:div>
    <w:div w:id="20600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Entergy User</dc:creator>
  <cp:lastModifiedBy>BOWDEN, REBECCA L</cp:lastModifiedBy>
  <cp:revision>6</cp:revision>
  <cp:lastPrinted>2015-10-30T16:03:00Z</cp:lastPrinted>
  <dcterms:created xsi:type="dcterms:W3CDTF">2015-10-30T15:50:00Z</dcterms:created>
  <dcterms:modified xsi:type="dcterms:W3CDTF">2015-10-30T17:22:00Z</dcterms:modified>
</cp:coreProperties>
</file>