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E6" w:rsidRDefault="00A431E6" w:rsidP="002A09BE">
      <w:pPr>
        <w:jc w:val="center"/>
        <w:rPr>
          <w:b/>
          <w:bCs/>
          <w:sz w:val="32"/>
        </w:rPr>
      </w:pPr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Loads &amp; Resources Data Request</w:t>
      </w:r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TRANSAC</w:t>
      </w:r>
    </w:p>
    <w:p w:rsidR="002A09BE" w:rsidRPr="007C17F5" w:rsidRDefault="00867611" w:rsidP="002A09BE">
      <w:pPr>
        <w:jc w:val="center"/>
        <w:rPr>
          <w:b/>
          <w:bCs/>
          <w:color w:val="00B050"/>
          <w:sz w:val="32"/>
        </w:rPr>
      </w:pPr>
      <w:r>
        <w:rPr>
          <w:b/>
          <w:bCs/>
          <w:sz w:val="32"/>
        </w:rPr>
        <w:t>June 19</w:t>
      </w:r>
      <w:r w:rsidR="0051587B">
        <w:rPr>
          <w:b/>
          <w:bCs/>
          <w:sz w:val="32"/>
        </w:rPr>
        <w:t>, 2014</w:t>
      </w:r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Update</w:t>
      </w:r>
    </w:p>
    <w:p w:rsidR="00922DDF" w:rsidRDefault="00922DDF" w:rsidP="002A09BE">
      <w:pPr>
        <w:jc w:val="center"/>
        <w:rPr>
          <w:b/>
          <w:bCs/>
          <w:sz w:val="32"/>
        </w:rPr>
      </w:pPr>
    </w:p>
    <w:p w:rsidR="00A431E6" w:rsidRDefault="00A431E6" w:rsidP="002A09BE">
      <w:pPr>
        <w:jc w:val="center"/>
        <w:rPr>
          <w:b/>
          <w:bCs/>
          <w:sz w:val="32"/>
        </w:rPr>
      </w:pPr>
    </w:p>
    <w:p w:rsidR="00430A6F" w:rsidRPr="00430A6F" w:rsidRDefault="00233BE7" w:rsidP="00A431E6">
      <w:pPr>
        <w:spacing w:after="200" w:line="360" w:lineRule="auto"/>
        <w:rPr>
          <w:bCs/>
        </w:rPr>
      </w:pPr>
      <w:r>
        <w:rPr>
          <w:bCs/>
        </w:rPr>
        <w:t>T</w:t>
      </w:r>
      <w:r w:rsidR="00E019E7">
        <w:rPr>
          <w:bCs/>
        </w:rPr>
        <w:t xml:space="preserve">he </w:t>
      </w:r>
      <w:r w:rsidR="00310328">
        <w:rPr>
          <w:bCs/>
        </w:rPr>
        <w:t xml:space="preserve">Western Electricity Coordinating Council (WECC) </w:t>
      </w:r>
      <w:r w:rsidR="00EA3161">
        <w:rPr>
          <w:bCs/>
        </w:rPr>
        <w:t xml:space="preserve">has not started looking at any changes that will be made to the 2015 </w:t>
      </w:r>
      <w:r w:rsidR="0027534C">
        <w:rPr>
          <w:bCs/>
        </w:rPr>
        <w:t>Loads and Resources Data Request</w:t>
      </w:r>
      <w:r w:rsidR="003833DC">
        <w:rPr>
          <w:bCs/>
        </w:rPr>
        <w:t>.</w:t>
      </w:r>
      <w:r w:rsidR="0027534C">
        <w:rPr>
          <w:bCs/>
        </w:rPr>
        <w:t xml:space="preserve"> </w:t>
      </w:r>
      <w:r w:rsidR="00406D05">
        <w:rPr>
          <w:bCs/>
        </w:rPr>
        <w:t xml:space="preserve">NorthWestern Energy (NWMT) will </w:t>
      </w:r>
      <w:r w:rsidR="00952825">
        <w:rPr>
          <w:bCs/>
        </w:rPr>
        <w:t xml:space="preserve">be </w:t>
      </w:r>
      <w:r w:rsidR="00406D05">
        <w:rPr>
          <w:bCs/>
        </w:rPr>
        <w:t>send</w:t>
      </w:r>
      <w:r w:rsidR="00952825">
        <w:rPr>
          <w:bCs/>
        </w:rPr>
        <w:t>ing</w:t>
      </w:r>
      <w:r w:rsidR="00406D05">
        <w:rPr>
          <w:bCs/>
        </w:rPr>
        <w:t xml:space="preserve"> e</w:t>
      </w:r>
      <w:r w:rsidR="0051587B">
        <w:rPr>
          <w:bCs/>
        </w:rPr>
        <w:t xml:space="preserve">ach large industrial customer and each large generation entity an individual email requesting their data.  </w:t>
      </w:r>
      <w:r w:rsidR="00430A6F">
        <w:rPr>
          <w:bCs/>
        </w:rPr>
        <w:t xml:space="preserve">The information asked for </w:t>
      </w:r>
      <w:r w:rsidR="00EA3161">
        <w:rPr>
          <w:bCs/>
        </w:rPr>
        <w:t>should be</w:t>
      </w:r>
      <w:r w:rsidR="00430A6F">
        <w:rPr>
          <w:bCs/>
        </w:rPr>
        <w:t xml:space="preserve"> </w:t>
      </w:r>
      <w:r w:rsidR="00D7439C">
        <w:rPr>
          <w:bCs/>
        </w:rPr>
        <w:t>similar to last year's request.</w:t>
      </w:r>
      <w:r w:rsidR="00430A6F">
        <w:rPr>
          <w:bCs/>
        </w:rPr>
        <w:t xml:space="preserve"> </w:t>
      </w:r>
      <w:r w:rsidR="0051587B">
        <w:rPr>
          <w:bCs/>
        </w:rPr>
        <w:t xml:space="preserve"> </w:t>
      </w:r>
      <w:r w:rsidR="00406D05">
        <w:rPr>
          <w:bCs/>
        </w:rPr>
        <w:t>NWMT</w:t>
      </w:r>
      <w:r w:rsidR="00430A6F" w:rsidRPr="00430A6F">
        <w:rPr>
          <w:bCs/>
        </w:rPr>
        <w:t xml:space="preserve"> uses the data collected to plan, construct, operate and maintain its Transmission System in accordance with Good Utility Practice and its planning obligations in Attachment K.</w:t>
      </w:r>
    </w:p>
    <w:p w:rsidR="00430A6F" w:rsidRPr="00E54D4E" w:rsidRDefault="0051587B" w:rsidP="00A431E6">
      <w:pPr>
        <w:spacing w:after="200" w:line="360" w:lineRule="auto"/>
      </w:pPr>
      <w:r>
        <w:rPr>
          <w:bCs/>
        </w:rPr>
        <w:t xml:space="preserve">Also, the request </w:t>
      </w:r>
      <w:r w:rsidR="00E8011F">
        <w:rPr>
          <w:bCs/>
        </w:rPr>
        <w:t xml:space="preserve">will </w:t>
      </w:r>
      <w:r>
        <w:rPr>
          <w:bCs/>
        </w:rPr>
        <w:t>mention Public Policy Requirements</w:t>
      </w:r>
      <w:r w:rsidR="00430A6F">
        <w:rPr>
          <w:bCs/>
        </w:rPr>
        <w:t xml:space="preserve"> and Considerations and </w:t>
      </w:r>
      <w:r w:rsidR="00E8011F">
        <w:rPr>
          <w:bCs/>
        </w:rPr>
        <w:t xml:space="preserve">will </w:t>
      </w:r>
      <w:r w:rsidR="00430A6F">
        <w:rPr>
          <w:bCs/>
        </w:rPr>
        <w:t xml:space="preserve">provide applicable hot links for interested stakeholders. </w:t>
      </w:r>
      <w:r>
        <w:rPr>
          <w:bCs/>
        </w:rPr>
        <w:t xml:space="preserve"> </w:t>
      </w:r>
      <w:r w:rsidR="00430A6F" w:rsidRPr="00E54D4E">
        <w:t>Pursuant to FERC Order 1000</w:t>
      </w:r>
      <w:r w:rsidR="002B460B">
        <w:t>,</w:t>
      </w:r>
      <w:r w:rsidR="00430A6F" w:rsidRPr="00E54D4E">
        <w:t xml:space="preserve"> </w:t>
      </w:r>
      <w:r w:rsidR="00430A6F">
        <w:t>NorthWestern Energy</w:t>
      </w:r>
      <w:r w:rsidR="00430A6F" w:rsidRPr="00E54D4E">
        <w:t xml:space="preserve"> provides an opportunity for stakeholders to submit potential public policy requirements and considerations and appropriate transmission for possible consideration in its local area transmission planning. </w:t>
      </w:r>
      <w:r w:rsidR="00430A6F">
        <w:t xml:space="preserve"> Two documents are available on the NorthWestern Energy's OASIS website:  </w:t>
      </w:r>
      <w:hyperlink r:id="rId6" w:history="1">
        <w:r w:rsidR="00430A6F">
          <w:rPr>
            <w:rStyle w:val="Hyperlink"/>
          </w:rPr>
          <w:t>Instructions - Public Policy Project Request</w:t>
        </w:r>
      </w:hyperlink>
      <w:r w:rsidR="00430A6F">
        <w:t xml:space="preserve"> and</w:t>
      </w:r>
      <w:hyperlink r:id="rId7" w:history="1">
        <w:r w:rsidR="00430A6F">
          <w:rPr>
            <w:rStyle w:val="Hyperlink"/>
          </w:rPr>
          <w:t xml:space="preserve"> Public Policy Project Request Workbook</w:t>
        </w:r>
      </w:hyperlink>
    </w:p>
    <w:p w:rsidR="006745B9" w:rsidRPr="006745B9" w:rsidRDefault="00A431E6" w:rsidP="00F93E89">
      <w:pPr>
        <w:spacing w:line="360" w:lineRule="auto"/>
        <w:ind w:right="-187"/>
        <w:rPr>
          <w:bCs/>
        </w:rPr>
      </w:pPr>
      <w:r>
        <w:rPr>
          <w:bCs/>
        </w:rPr>
        <w:t xml:space="preserve">On </w:t>
      </w:r>
      <w:r w:rsidR="00F44680">
        <w:rPr>
          <w:bCs/>
        </w:rPr>
        <w:t>May 14</w:t>
      </w:r>
      <w:r>
        <w:rPr>
          <w:bCs/>
        </w:rPr>
        <w:t xml:space="preserve">, 2014 the </w:t>
      </w:r>
      <w:r w:rsidRPr="006745B9">
        <w:rPr>
          <w:bCs/>
          <w:i/>
        </w:rPr>
        <w:t>201</w:t>
      </w:r>
      <w:r w:rsidR="00F44680" w:rsidRPr="006745B9">
        <w:rPr>
          <w:bCs/>
          <w:i/>
        </w:rPr>
        <w:t>4</w:t>
      </w:r>
      <w:r w:rsidRPr="006745B9">
        <w:rPr>
          <w:bCs/>
          <w:i/>
        </w:rPr>
        <w:t xml:space="preserve"> </w:t>
      </w:r>
      <w:r w:rsidR="00F44680" w:rsidRPr="006745B9">
        <w:rPr>
          <w:bCs/>
          <w:i/>
        </w:rPr>
        <w:t>Summer</w:t>
      </w:r>
      <w:r w:rsidR="006745B9">
        <w:rPr>
          <w:bCs/>
          <w:i/>
        </w:rPr>
        <w:t xml:space="preserve"> Reliability</w:t>
      </w:r>
      <w:r w:rsidR="00F44680" w:rsidRPr="006745B9">
        <w:rPr>
          <w:bCs/>
          <w:i/>
        </w:rPr>
        <w:t xml:space="preserve"> Assessment</w:t>
      </w:r>
      <w:r>
        <w:rPr>
          <w:bCs/>
        </w:rPr>
        <w:t xml:space="preserve"> was posted on the NERC website at </w:t>
      </w:r>
      <w:hyperlink r:id="rId8" w:history="1">
        <w:r w:rsidR="00F44680" w:rsidRPr="00F44680">
          <w:rPr>
            <w:rStyle w:val="Hyperlink"/>
            <w:bCs/>
          </w:rPr>
          <w:t>http://www.nerc.com/pa/RAPA/ra/Reliability%20Assessments%20DL/2014SRA.pdf</w:t>
        </w:r>
      </w:hyperlink>
      <w:r w:rsidR="00F44680">
        <w:rPr>
          <w:bCs/>
        </w:rPr>
        <w:t xml:space="preserve">  </w:t>
      </w:r>
      <w:r>
        <w:rPr>
          <w:bCs/>
        </w:rPr>
        <w:t>This report</w:t>
      </w:r>
      <w:r w:rsidR="00F44680">
        <w:rPr>
          <w:bCs/>
        </w:rPr>
        <w:t xml:space="preserve"> </w:t>
      </w:r>
      <w:r w:rsidR="00F44680" w:rsidRPr="00F44680">
        <w:rPr>
          <w:bCs/>
        </w:rPr>
        <w:t>includes a high</w:t>
      </w:r>
      <w:r w:rsidR="00F44680" w:rsidRPr="00F44680">
        <w:rPr>
          <w:rFonts w:ascii="Cambria Math" w:hAnsi="Cambria Math" w:cs="Cambria Math"/>
          <w:bCs/>
        </w:rPr>
        <w:t>‐</w:t>
      </w:r>
      <w:r w:rsidR="00F44680" w:rsidRPr="00F44680">
        <w:rPr>
          <w:bCs/>
        </w:rPr>
        <w:t>level perspective on the adequacy of the generation resources and</w:t>
      </w:r>
      <w:r w:rsidR="006745B9">
        <w:rPr>
          <w:bCs/>
        </w:rPr>
        <w:t xml:space="preserve"> </w:t>
      </w:r>
      <w:r w:rsidR="00F44680" w:rsidRPr="00F44680">
        <w:rPr>
          <w:bCs/>
        </w:rPr>
        <w:t>transmission systems necessary to meet projected summer peak demands</w:t>
      </w:r>
      <w:r w:rsidR="006745B9">
        <w:rPr>
          <w:bCs/>
        </w:rPr>
        <w:t xml:space="preserve">.  </w:t>
      </w:r>
      <w:r w:rsidR="002B460B">
        <w:rPr>
          <w:bCs/>
        </w:rPr>
        <w:t>A</w:t>
      </w:r>
      <w:r w:rsidR="006745B9" w:rsidRPr="006745B9">
        <w:rPr>
          <w:bCs/>
        </w:rPr>
        <w:t>ll of the assessment areas that NERC evaluates appear to have sufficient resources</w:t>
      </w:r>
      <w:r w:rsidR="006745B9">
        <w:rPr>
          <w:bCs/>
        </w:rPr>
        <w:t xml:space="preserve"> </w:t>
      </w:r>
      <w:r w:rsidR="006745B9" w:rsidRPr="006745B9">
        <w:rPr>
          <w:bCs/>
        </w:rPr>
        <w:t>to meet peak demand.</w:t>
      </w:r>
      <w:r w:rsidR="006745B9">
        <w:rPr>
          <w:bCs/>
        </w:rPr>
        <w:t xml:space="preserve">  </w:t>
      </w:r>
      <w:r w:rsidR="006745B9" w:rsidRPr="006745B9">
        <w:rPr>
          <w:bCs/>
        </w:rPr>
        <w:t xml:space="preserve">The </w:t>
      </w:r>
      <w:r w:rsidR="006745B9" w:rsidRPr="006745B9">
        <w:rPr>
          <w:bCs/>
          <w:i/>
          <w:iCs/>
        </w:rPr>
        <w:t xml:space="preserve">2014 Summer Reliability Assessment </w:t>
      </w:r>
      <w:r w:rsidR="006745B9" w:rsidRPr="006745B9">
        <w:rPr>
          <w:bCs/>
        </w:rPr>
        <w:t>shows that peak demand forecasts are flat compared to last year, which also results</w:t>
      </w:r>
    </w:p>
    <w:p w:rsidR="00E62885" w:rsidRDefault="006745B9" w:rsidP="006745B9">
      <w:pPr>
        <w:spacing w:line="360" w:lineRule="auto"/>
        <w:ind w:right="-180"/>
        <w:rPr>
          <w:bCs/>
        </w:rPr>
      </w:pPr>
      <w:r w:rsidRPr="006745B9">
        <w:rPr>
          <w:bCs/>
        </w:rPr>
        <w:t xml:space="preserve">in sufficient reserve margins needed to maintain </w:t>
      </w:r>
      <w:r>
        <w:rPr>
          <w:bCs/>
        </w:rPr>
        <w:t>Bulk Power System (</w:t>
      </w:r>
      <w:r w:rsidRPr="006745B9">
        <w:rPr>
          <w:bCs/>
        </w:rPr>
        <w:t>BPS</w:t>
      </w:r>
      <w:r>
        <w:rPr>
          <w:bCs/>
        </w:rPr>
        <w:t>)</w:t>
      </w:r>
      <w:r w:rsidRPr="006745B9">
        <w:rPr>
          <w:bCs/>
        </w:rPr>
        <w:t xml:space="preserve"> reliability.</w:t>
      </w:r>
      <w:r>
        <w:rPr>
          <w:bCs/>
        </w:rPr>
        <w:t xml:space="preserve">  </w:t>
      </w:r>
      <w:r w:rsidR="002B460B">
        <w:rPr>
          <w:bCs/>
        </w:rPr>
        <w:t xml:space="preserve">NERC continues to evaluate the impact of </w:t>
      </w:r>
      <w:proofErr w:type="spellStart"/>
      <w:r w:rsidR="002B460B">
        <w:rPr>
          <w:bCs/>
        </w:rPr>
        <w:t>baseload</w:t>
      </w:r>
      <w:proofErr w:type="spellEnd"/>
      <w:r w:rsidR="002B460B">
        <w:rPr>
          <w:bCs/>
        </w:rPr>
        <w:t xml:space="preserve"> re</w:t>
      </w:r>
      <w:r w:rsidR="00D7439C">
        <w:rPr>
          <w:bCs/>
        </w:rPr>
        <w:t>t</w:t>
      </w:r>
      <w:r w:rsidR="002B460B">
        <w:rPr>
          <w:bCs/>
        </w:rPr>
        <w:t>irements</w:t>
      </w:r>
      <w:r w:rsidR="00D7439C">
        <w:rPr>
          <w:bCs/>
        </w:rPr>
        <w:t>, particularly coal and nuclear</w:t>
      </w:r>
      <w:r w:rsidR="00067C5E">
        <w:rPr>
          <w:bCs/>
        </w:rPr>
        <w:t>;</w:t>
      </w:r>
      <w:r w:rsidR="002B460B">
        <w:rPr>
          <w:bCs/>
        </w:rPr>
        <w:t xml:space="preserve"> and </w:t>
      </w:r>
      <w:r w:rsidR="00067C5E">
        <w:rPr>
          <w:bCs/>
        </w:rPr>
        <w:t xml:space="preserve">NERC </w:t>
      </w:r>
      <w:r w:rsidR="002B460B">
        <w:rPr>
          <w:bCs/>
        </w:rPr>
        <w:t>also studies summer gas-electric transportation c</w:t>
      </w:r>
      <w:r w:rsidR="00D7439C">
        <w:rPr>
          <w:bCs/>
        </w:rPr>
        <w:t xml:space="preserve">onsiderations </w:t>
      </w:r>
      <w:r w:rsidR="002B460B">
        <w:rPr>
          <w:bCs/>
        </w:rPr>
        <w:t>as there is an increased dependency on gas-fired capacity.</w:t>
      </w:r>
    </w:p>
    <w:sectPr w:rsidR="00E62885" w:rsidSect="00A431E6">
      <w:footerReference w:type="defaul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E0" w:rsidRDefault="008841E0" w:rsidP="00C6612F">
      <w:r>
        <w:separator/>
      </w:r>
    </w:p>
  </w:endnote>
  <w:endnote w:type="continuationSeparator" w:id="0">
    <w:p w:rsidR="008841E0" w:rsidRDefault="008841E0" w:rsidP="00C6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49" w:rsidRDefault="00C6612F" w:rsidP="00C6612F">
    <w:pPr>
      <w:pStyle w:val="Footer"/>
      <w:jc w:val="center"/>
      <w:rPr>
        <w:rFonts w:asciiTheme="minorHAnsi" w:hAnsiTheme="minorHAnsi" w:cstheme="minorHAnsi"/>
        <w:b/>
        <w:sz w:val="18"/>
        <w:szCs w:val="18"/>
      </w:rPr>
    </w:pPr>
    <w:r w:rsidRPr="004B1A06">
      <w:rPr>
        <w:rFonts w:asciiTheme="minorHAnsi" w:hAnsiTheme="minorHAnsi" w:cstheme="minorHAnsi"/>
        <w:sz w:val="18"/>
        <w:szCs w:val="18"/>
      </w:rPr>
      <w:t>NWE</w:t>
    </w:r>
    <w:r w:rsidRPr="004B1A06">
      <w:rPr>
        <w:rFonts w:asciiTheme="minorHAnsi" w:hAnsiTheme="minorHAnsi" w:cstheme="minorHAnsi"/>
        <w:sz w:val="18"/>
        <w:szCs w:val="18"/>
      </w:rPr>
      <w:tab/>
      <w:t xml:space="preserve">Page </w:t>
    </w:r>
    <w:r w:rsidRPr="004B1A06">
      <w:rPr>
        <w:rFonts w:asciiTheme="minorHAnsi" w:hAnsiTheme="minorHAnsi" w:cstheme="minorHAnsi"/>
        <w:b/>
        <w:sz w:val="18"/>
        <w:szCs w:val="18"/>
      </w:rPr>
      <w:t>1</w:t>
    </w:r>
    <w:r w:rsidRPr="004B1A06">
      <w:rPr>
        <w:rFonts w:asciiTheme="minorHAnsi" w:hAnsiTheme="minorHAnsi" w:cstheme="minorHAnsi"/>
        <w:b/>
        <w:sz w:val="18"/>
        <w:szCs w:val="18"/>
      </w:rPr>
      <w:tab/>
    </w:r>
    <w:r w:rsidR="00867611">
      <w:rPr>
        <w:rFonts w:asciiTheme="minorHAnsi" w:hAnsiTheme="minorHAnsi" w:cstheme="minorHAnsi"/>
        <w:b/>
        <w:sz w:val="18"/>
        <w:szCs w:val="18"/>
      </w:rPr>
      <w:t>June 19</w:t>
    </w:r>
    <w:r w:rsidR="00F053B3">
      <w:rPr>
        <w:rFonts w:asciiTheme="minorHAnsi" w:hAnsiTheme="minorHAnsi" w:cstheme="minorHAnsi"/>
        <w:b/>
        <w:sz w:val="18"/>
        <w:szCs w:val="18"/>
      </w:rPr>
      <w:t>, 2014</w:t>
    </w:r>
  </w:p>
  <w:p w:rsidR="00C6612F" w:rsidRPr="004B1A06" w:rsidRDefault="00C6612F" w:rsidP="00C6612F">
    <w:pPr>
      <w:pStyle w:val="Footer"/>
      <w:jc w:val="center"/>
      <w:rPr>
        <w:rFonts w:asciiTheme="minorHAnsi" w:hAnsiTheme="minorHAnsi" w:cstheme="minorHAnsi"/>
        <w:sz w:val="18"/>
        <w:szCs w:val="18"/>
      </w:rPr>
    </w:pPr>
  </w:p>
  <w:p w:rsidR="00C6612F" w:rsidRDefault="00C66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E0" w:rsidRDefault="008841E0" w:rsidP="00C6612F">
      <w:r>
        <w:separator/>
      </w:r>
    </w:p>
  </w:footnote>
  <w:footnote w:type="continuationSeparator" w:id="0">
    <w:p w:rsidR="008841E0" w:rsidRDefault="008841E0" w:rsidP="00C6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stylePaneFormatFilter w:val="3F04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9BE"/>
    <w:rsid w:val="000205B0"/>
    <w:rsid w:val="000275EA"/>
    <w:rsid w:val="0005434B"/>
    <w:rsid w:val="00067C5E"/>
    <w:rsid w:val="00070BE4"/>
    <w:rsid w:val="000B2840"/>
    <w:rsid w:val="000B5EC2"/>
    <w:rsid w:val="00101032"/>
    <w:rsid w:val="00165D2A"/>
    <w:rsid w:val="00182558"/>
    <w:rsid w:val="001B6C4F"/>
    <w:rsid w:val="001D3E16"/>
    <w:rsid w:val="001D5703"/>
    <w:rsid w:val="001E2740"/>
    <w:rsid w:val="001E35F9"/>
    <w:rsid w:val="001F075E"/>
    <w:rsid w:val="00232117"/>
    <w:rsid w:val="00233BE7"/>
    <w:rsid w:val="002465A8"/>
    <w:rsid w:val="00274855"/>
    <w:rsid w:val="0027534C"/>
    <w:rsid w:val="00293BCD"/>
    <w:rsid w:val="002A09BE"/>
    <w:rsid w:val="002B25D8"/>
    <w:rsid w:val="002B460B"/>
    <w:rsid w:val="00310328"/>
    <w:rsid w:val="00354703"/>
    <w:rsid w:val="003833DC"/>
    <w:rsid w:val="00384DFB"/>
    <w:rsid w:val="003B3033"/>
    <w:rsid w:val="003B7C56"/>
    <w:rsid w:val="003F755E"/>
    <w:rsid w:val="00406D05"/>
    <w:rsid w:val="00430A6F"/>
    <w:rsid w:val="0044274B"/>
    <w:rsid w:val="004741BF"/>
    <w:rsid w:val="0047719E"/>
    <w:rsid w:val="004B1A06"/>
    <w:rsid w:val="004F7F4D"/>
    <w:rsid w:val="00500F88"/>
    <w:rsid w:val="0051587B"/>
    <w:rsid w:val="005425A3"/>
    <w:rsid w:val="00575EC4"/>
    <w:rsid w:val="00575EDB"/>
    <w:rsid w:val="00592F9C"/>
    <w:rsid w:val="005F5DA2"/>
    <w:rsid w:val="006163F9"/>
    <w:rsid w:val="00631E9D"/>
    <w:rsid w:val="006466D1"/>
    <w:rsid w:val="006745B9"/>
    <w:rsid w:val="00687ACF"/>
    <w:rsid w:val="006910C8"/>
    <w:rsid w:val="00693FF4"/>
    <w:rsid w:val="007344ED"/>
    <w:rsid w:val="00735C1F"/>
    <w:rsid w:val="00753F3F"/>
    <w:rsid w:val="00754805"/>
    <w:rsid w:val="007738AE"/>
    <w:rsid w:val="007B5CF7"/>
    <w:rsid w:val="007C4968"/>
    <w:rsid w:val="007D236F"/>
    <w:rsid w:val="007E12E2"/>
    <w:rsid w:val="00867611"/>
    <w:rsid w:val="008841E0"/>
    <w:rsid w:val="008C14F4"/>
    <w:rsid w:val="008D0826"/>
    <w:rsid w:val="0090207D"/>
    <w:rsid w:val="00922DDF"/>
    <w:rsid w:val="0094246B"/>
    <w:rsid w:val="00952825"/>
    <w:rsid w:val="009B32DA"/>
    <w:rsid w:val="009B608E"/>
    <w:rsid w:val="00A25DE7"/>
    <w:rsid w:val="00A431E6"/>
    <w:rsid w:val="00A93FE7"/>
    <w:rsid w:val="00AB49D8"/>
    <w:rsid w:val="00AE513C"/>
    <w:rsid w:val="00B023C2"/>
    <w:rsid w:val="00B771A5"/>
    <w:rsid w:val="00B83A53"/>
    <w:rsid w:val="00BA4E08"/>
    <w:rsid w:val="00BE1C7E"/>
    <w:rsid w:val="00C02F49"/>
    <w:rsid w:val="00C31740"/>
    <w:rsid w:val="00C638D0"/>
    <w:rsid w:val="00C6612F"/>
    <w:rsid w:val="00C71E55"/>
    <w:rsid w:val="00CA65D0"/>
    <w:rsid w:val="00CD4AF1"/>
    <w:rsid w:val="00D048DB"/>
    <w:rsid w:val="00D062B3"/>
    <w:rsid w:val="00D37585"/>
    <w:rsid w:val="00D61569"/>
    <w:rsid w:val="00D668A7"/>
    <w:rsid w:val="00D7439C"/>
    <w:rsid w:val="00D916B9"/>
    <w:rsid w:val="00D932FA"/>
    <w:rsid w:val="00D95103"/>
    <w:rsid w:val="00E019E7"/>
    <w:rsid w:val="00E62885"/>
    <w:rsid w:val="00E8011F"/>
    <w:rsid w:val="00EA3161"/>
    <w:rsid w:val="00EC5E94"/>
    <w:rsid w:val="00ED3AEA"/>
    <w:rsid w:val="00ED417D"/>
    <w:rsid w:val="00EF1FED"/>
    <w:rsid w:val="00EF2603"/>
    <w:rsid w:val="00EF57CE"/>
    <w:rsid w:val="00F053B3"/>
    <w:rsid w:val="00F30F0D"/>
    <w:rsid w:val="00F44680"/>
    <w:rsid w:val="00F81755"/>
    <w:rsid w:val="00F93E89"/>
    <w:rsid w:val="00FA4BB2"/>
    <w:rsid w:val="00FB5545"/>
    <w:rsid w:val="00FC36B1"/>
    <w:rsid w:val="00FE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F3F"/>
    <w:pPr>
      <w:keepNext/>
      <w:spacing w:before="240" w:after="60"/>
      <w:outlineLvl w:val="0"/>
    </w:pPr>
    <w:rPr>
      <w:rFonts w:ascii="Arial Bold" w:hAnsi="Arial Bold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53F3F"/>
    <w:pPr>
      <w:keepNext/>
      <w:spacing w:before="240" w:after="60"/>
      <w:outlineLvl w:val="1"/>
    </w:pPr>
    <w:rPr>
      <w:rFonts w:ascii="Arial Bold" w:hAnsi="Arial Bold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3F3F"/>
    <w:pPr>
      <w:keepNext/>
      <w:spacing w:before="240" w:after="60"/>
      <w:outlineLvl w:val="2"/>
    </w:pPr>
    <w:rPr>
      <w:rFonts w:ascii="Arial Bold" w:hAnsi="Arial Bold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F3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3F"/>
    <w:rPr>
      <w:rFonts w:ascii="Arial Bold" w:hAnsi="Arial Bold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3F3F"/>
    <w:rPr>
      <w:rFonts w:ascii="Arial Bold" w:hAnsi="Arial Bold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3F3F"/>
    <w:rPr>
      <w:rFonts w:ascii="Arial Bold" w:hAnsi="Arial Bol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3F3F"/>
    <w:rPr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2A0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840"/>
    <w:rPr>
      <w:color w:val="800080" w:themeColor="followedHyperlink"/>
      <w:u w:val="single"/>
    </w:rPr>
  </w:style>
  <w:style w:type="paragraph" w:customStyle="1" w:styleId="Default">
    <w:name w:val="Default"/>
    <w:rsid w:val="00D932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6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1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com/pa/RAPA/ra/Reliability%20Assessments%20DL/2014SR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asis.oati.com/NWMT/NWMTdocs/Public_Policy_Project_Request_Wrkbk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sis.oati.com/NWMT/NWMTdocs/Instructions-Public_Policy_Project_Request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</dc:creator>
  <cp:keywords/>
  <dc:description/>
  <cp:lastModifiedBy>Mathews</cp:lastModifiedBy>
  <cp:revision>8</cp:revision>
  <cp:lastPrinted>2014-06-11T16:06:00Z</cp:lastPrinted>
  <dcterms:created xsi:type="dcterms:W3CDTF">2014-06-10T20:38:00Z</dcterms:created>
  <dcterms:modified xsi:type="dcterms:W3CDTF">2014-06-11T16:20:00Z</dcterms:modified>
</cp:coreProperties>
</file>