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44" w:rsidRPr="00154644" w:rsidRDefault="003024CF" w:rsidP="00154644">
      <w:pPr>
        <w:spacing w:after="0"/>
        <w:jc w:val="center"/>
        <w:rPr>
          <w:sz w:val="28"/>
          <w:szCs w:val="28"/>
        </w:rPr>
      </w:pPr>
      <w:r w:rsidRPr="00154644">
        <w:rPr>
          <w:sz w:val="28"/>
          <w:szCs w:val="28"/>
        </w:rPr>
        <w:t>Northern Tier Transmission Group</w:t>
      </w:r>
    </w:p>
    <w:p w:rsidR="003024CF" w:rsidRPr="00154644" w:rsidRDefault="00A116B2" w:rsidP="00154644">
      <w:pPr>
        <w:spacing w:after="0"/>
        <w:jc w:val="center"/>
        <w:rPr>
          <w:sz w:val="28"/>
          <w:szCs w:val="28"/>
        </w:rPr>
      </w:pPr>
      <w:r>
        <w:rPr>
          <w:sz w:val="28"/>
          <w:szCs w:val="28"/>
        </w:rPr>
        <w:t xml:space="preserve">Regional </w:t>
      </w:r>
      <w:r w:rsidR="00154644" w:rsidRPr="00154644">
        <w:rPr>
          <w:sz w:val="28"/>
          <w:szCs w:val="28"/>
        </w:rPr>
        <w:t xml:space="preserve">Planning </w:t>
      </w:r>
      <w:r w:rsidR="004D45B5">
        <w:rPr>
          <w:sz w:val="28"/>
          <w:szCs w:val="28"/>
        </w:rPr>
        <w:t>Practice</w:t>
      </w:r>
    </w:p>
    <w:p w:rsidR="005817BA" w:rsidRDefault="005817BA" w:rsidP="00A116B2"/>
    <w:p w:rsidR="00DD0D9D" w:rsidRDefault="00C508E2" w:rsidP="00A116B2">
      <w:r>
        <w:t xml:space="preserve">The Northern Tier Transmission Group </w:t>
      </w:r>
      <w:r w:rsidR="00154644">
        <w:t xml:space="preserve">(“NTTG”) </w:t>
      </w:r>
      <w:r>
        <w:t>was formed in 2007</w:t>
      </w:r>
      <w:r w:rsidR="00604609">
        <w:t xml:space="preserve"> as an outgrowth of earlier </w:t>
      </w:r>
      <w:r>
        <w:t>regional</w:t>
      </w:r>
      <w:r w:rsidR="00604609">
        <w:rPr>
          <w:rStyle w:val="FootnoteReference"/>
        </w:rPr>
        <w:footnoteReference w:id="1"/>
      </w:r>
      <w:r w:rsidR="00604609">
        <w:t xml:space="preserve"> </w:t>
      </w:r>
      <w:r>
        <w:t xml:space="preserve">transmission coordination efforts as an extension of the transmission planning and stakeholder participation </w:t>
      </w:r>
      <w:r w:rsidR="001D35CC">
        <w:t>processes</w:t>
      </w:r>
      <w:r>
        <w:t xml:space="preserve"> of </w:t>
      </w:r>
      <w:r w:rsidR="00857272">
        <w:t>t</w:t>
      </w:r>
      <w:r>
        <w:t xml:space="preserve">ransmission </w:t>
      </w:r>
      <w:r w:rsidR="00857272">
        <w:t>p</w:t>
      </w:r>
      <w:r>
        <w:t>roviders in the NT</w:t>
      </w:r>
      <w:r w:rsidR="00154644">
        <w:t>TG</w:t>
      </w:r>
      <w:r>
        <w:t xml:space="preserve"> footprint (or </w:t>
      </w:r>
      <w:r w:rsidR="00386B7C">
        <w:t xml:space="preserve">combined transmission provider’s </w:t>
      </w:r>
      <w:r>
        <w:t xml:space="preserve">service </w:t>
      </w:r>
      <w:r w:rsidR="002728B6">
        <w:t>territories</w:t>
      </w:r>
      <w:r>
        <w:t xml:space="preserve">). </w:t>
      </w:r>
      <w:r w:rsidR="007D6478">
        <w:t xml:space="preserve">Starting in 2004, </w:t>
      </w:r>
      <w:r w:rsidR="00857272">
        <w:t xml:space="preserve">NTTG’s </w:t>
      </w:r>
      <w:r w:rsidR="000C01B2">
        <w:t xml:space="preserve">planning </w:t>
      </w:r>
      <w:r w:rsidR="00857272">
        <w:t>effort was mo</w:t>
      </w:r>
      <w:r w:rsidR="000C01B2">
        <w:t>lded</w:t>
      </w:r>
      <w:r w:rsidR="00857272">
        <w:t xml:space="preserve"> to meet the requirements </w:t>
      </w:r>
      <w:r w:rsidR="00BE64AB">
        <w:t xml:space="preserve">of </w:t>
      </w:r>
      <w:r w:rsidR="00154644">
        <w:t>Federal Energy Regulatory Commission</w:t>
      </w:r>
      <w:r>
        <w:t xml:space="preserve"> </w:t>
      </w:r>
      <w:r w:rsidR="00154644">
        <w:t>(“</w:t>
      </w:r>
      <w:r>
        <w:t>FERC</w:t>
      </w:r>
      <w:r w:rsidR="00154644">
        <w:t xml:space="preserve">”) </w:t>
      </w:r>
      <w:r>
        <w:t>Order 890</w:t>
      </w:r>
      <w:r w:rsidR="000A6705">
        <w:t xml:space="preserve"> </w:t>
      </w:r>
      <w:r w:rsidR="007D6478">
        <w:t xml:space="preserve">that was </w:t>
      </w:r>
      <w:r w:rsidR="000A6705">
        <w:t>issued in 2007</w:t>
      </w:r>
      <w:r w:rsidR="0072166C">
        <w:t xml:space="preserve">. </w:t>
      </w:r>
      <w:r w:rsidR="003A49EC">
        <w:t>NTTG</w:t>
      </w:r>
      <w:r w:rsidR="000A6705">
        <w:t>’s</w:t>
      </w:r>
      <w:r w:rsidR="003A49EC">
        <w:t xml:space="preserve"> </w:t>
      </w:r>
      <w:r w:rsidR="00857272">
        <w:t>t</w:t>
      </w:r>
      <w:r w:rsidR="003A49EC">
        <w:t xml:space="preserve">ransmission </w:t>
      </w:r>
      <w:r w:rsidR="00857272">
        <w:t>p</w:t>
      </w:r>
      <w:r w:rsidR="003A49EC">
        <w:t>roviders complied</w:t>
      </w:r>
      <w:r w:rsidR="007D6478">
        <w:rPr>
          <w:rStyle w:val="FootnoteReference"/>
        </w:rPr>
        <w:footnoteReference w:id="2"/>
      </w:r>
      <w:r w:rsidR="003A49EC">
        <w:t xml:space="preserve"> with the Commission’s requirement by amending their FERC Tariff </w:t>
      </w:r>
      <w:r w:rsidR="000C01B2">
        <w:t xml:space="preserve">to include an Attachment K that met the Order 890 </w:t>
      </w:r>
      <w:r w:rsidR="007D6478">
        <w:t xml:space="preserve">nine </w:t>
      </w:r>
      <w:r w:rsidR="0081567C">
        <w:t xml:space="preserve">planning </w:t>
      </w:r>
      <w:r w:rsidR="000C01B2">
        <w:t xml:space="preserve">principles </w:t>
      </w:r>
      <w:r w:rsidR="0081567C">
        <w:t>at the local and regional</w:t>
      </w:r>
      <w:r w:rsidR="00604609">
        <w:t xml:space="preserve"> </w:t>
      </w:r>
      <w:r w:rsidR="0081567C">
        <w:t>levels</w:t>
      </w:r>
      <w:r w:rsidR="006E1233">
        <w:t xml:space="preserve">. </w:t>
      </w:r>
      <w:r w:rsidR="0072166C">
        <w:t>In 2011, FERC</w:t>
      </w:r>
      <w:r w:rsidR="000A6705">
        <w:t xml:space="preserve"> issued</w:t>
      </w:r>
      <w:r w:rsidR="0072166C">
        <w:t xml:space="preserve"> Order </w:t>
      </w:r>
      <w:r w:rsidR="00154644">
        <w:t>1000</w:t>
      </w:r>
      <w:r w:rsidR="0072166C">
        <w:t xml:space="preserve"> amend</w:t>
      </w:r>
      <w:r w:rsidR="00C11F10">
        <w:t>ing their</w:t>
      </w:r>
      <w:r w:rsidR="0072166C">
        <w:t xml:space="preserve"> Order 890 regional planning requirement</w:t>
      </w:r>
      <w:r w:rsidR="00C11F10">
        <w:t>s</w:t>
      </w:r>
      <w:r w:rsidR="00A116B2">
        <w:t xml:space="preserve"> requir</w:t>
      </w:r>
      <w:r w:rsidR="00481540">
        <w:t>ing</w:t>
      </w:r>
      <w:r w:rsidR="00A116B2">
        <w:t xml:space="preserve"> </w:t>
      </w:r>
      <w:r w:rsidR="00857272">
        <w:t xml:space="preserve">each transmission provider participate in a regional transmission planning process that produces a </w:t>
      </w:r>
      <w:r w:rsidR="004A5058">
        <w:t xml:space="preserve">Regional Transmission Plan </w:t>
      </w:r>
      <w:r w:rsidR="00481540">
        <w:t xml:space="preserve">by </w:t>
      </w:r>
      <w:r w:rsidR="00857272">
        <w:t>compl</w:t>
      </w:r>
      <w:r w:rsidR="00481540">
        <w:t>y</w:t>
      </w:r>
      <w:r w:rsidR="00857272">
        <w:t>i</w:t>
      </w:r>
      <w:r w:rsidR="00481540">
        <w:t>ng</w:t>
      </w:r>
      <w:r w:rsidR="00857272">
        <w:t xml:space="preserve"> with </w:t>
      </w:r>
      <w:r w:rsidR="00960A78">
        <w:t>Order No. 890</w:t>
      </w:r>
      <w:r w:rsidR="00857272">
        <w:t xml:space="preserve"> transmission planning principles</w:t>
      </w:r>
      <w:r w:rsidR="00857272">
        <w:rPr>
          <w:rStyle w:val="FootnoteReference"/>
        </w:rPr>
        <w:footnoteReference w:id="3"/>
      </w:r>
      <w:r w:rsidR="00857272">
        <w:t xml:space="preserve">. </w:t>
      </w:r>
      <w:r w:rsidR="00A116B2">
        <w:t xml:space="preserve">The Commission </w:t>
      </w:r>
      <w:r w:rsidR="00857272">
        <w:t>determine</w:t>
      </w:r>
      <w:r w:rsidR="00A116B2">
        <w:t>d</w:t>
      </w:r>
      <w:r w:rsidR="00857272">
        <w:t xml:space="preserve"> that such </w:t>
      </w:r>
      <w:r w:rsidR="00960A78">
        <w:t xml:space="preserve">regional </w:t>
      </w:r>
      <w:r w:rsidR="00857272">
        <w:t xml:space="preserve">transmission planning will expand opportunities for more efficient and cost-effective </w:t>
      </w:r>
      <w:r w:rsidR="00960A78">
        <w:t xml:space="preserve">regional </w:t>
      </w:r>
      <w:r w:rsidR="00857272">
        <w:t>transmission solutions for public utility transmission providers and stakeholders.</w:t>
      </w:r>
      <w:r w:rsidR="00481540">
        <w:t xml:space="preserve"> </w:t>
      </w:r>
    </w:p>
    <w:p w:rsidR="001D35CC" w:rsidRDefault="001D35CC" w:rsidP="00DD0D9D">
      <w:r>
        <w:t xml:space="preserve">The framework of </w:t>
      </w:r>
      <w:r w:rsidR="00A116B2">
        <w:t xml:space="preserve">NTTG’s </w:t>
      </w:r>
      <w:r>
        <w:t>regional planning process is defined in the Northern Tier Transmission Group’s Planning Committee Charter</w:t>
      </w:r>
      <w:r w:rsidR="006E1233">
        <w:t xml:space="preserve">. </w:t>
      </w:r>
      <w:r>
        <w:t xml:space="preserve">The charter establishes the Planning Committee with responsibility </w:t>
      </w:r>
      <w:r w:rsidRPr="00FA2CCB">
        <w:rPr>
          <w:i/>
        </w:rPr>
        <w:t>“</w:t>
      </w:r>
      <w:r w:rsidRPr="00481540">
        <w:rPr>
          <w:i/>
          <w:strike/>
          <w:highlight w:val="yellow"/>
        </w:rPr>
        <w:t>for</w:t>
      </w:r>
      <w:r w:rsidRPr="00481540">
        <w:rPr>
          <w:i/>
          <w:strike/>
        </w:rPr>
        <w:t xml:space="preserve"> </w:t>
      </w:r>
      <w:proofErr w:type="gramStart"/>
      <w:r w:rsidRPr="00481540">
        <w:rPr>
          <w:i/>
          <w:strike/>
          <w:highlight w:val="yellow"/>
        </w:rPr>
        <w:t>coord</w:t>
      </w:r>
      <w:r w:rsidRPr="00960A78">
        <w:rPr>
          <w:i/>
          <w:strike/>
          <w:highlight w:val="yellow"/>
        </w:rPr>
        <w:t>inating</w:t>
      </w:r>
      <w:r w:rsidR="00481540" w:rsidRPr="00960A78">
        <w:rPr>
          <w:i/>
          <w:highlight w:val="yellow"/>
        </w:rPr>
        <w:t>[</w:t>
      </w:r>
      <w:proofErr w:type="gramEnd"/>
      <w:r w:rsidR="00A76FD9" w:rsidRPr="00960A78">
        <w:rPr>
          <w:i/>
          <w:highlight w:val="yellow"/>
        </w:rPr>
        <w:t xml:space="preserve">delete and </w:t>
      </w:r>
      <w:r w:rsidR="00481540" w:rsidRPr="00960A78">
        <w:rPr>
          <w:i/>
          <w:highlight w:val="yellow"/>
        </w:rPr>
        <w:t>change</w:t>
      </w:r>
      <w:r w:rsidR="002F5076" w:rsidRPr="00960A78">
        <w:rPr>
          <w:i/>
          <w:highlight w:val="yellow"/>
        </w:rPr>
        <w:t xml:space="preserve"> charter</w:t>
      </w:r>
      <w:r w:rsidR="00481540" w:rsidRPr="00960A78">
        <w:rPr>
          <w:i/>
          <w:highlight w:val="yellow"/>
        </w:rPr>
        <w:t xml:space="preserve"> to say]</w:t>
      </w:r>
      <w:r w:rsidR="00481540">
        <w:rPr>
          <w:i/>
        </w:rPr>
        <w:t xml:space="preserve"> </w:t>
      </w:r>
      <w:r w:rsidR="00481540" w:rsidRPr="00481540">
        <w:rPr>
          <w:i/>
          <w:highlight w:val="yellow"/>
        </w:rPr>
        <w:t xml:space="preserve">to develop a </w:t>
      </w:r>
      <w:r w:rsidR="004A5058">
        <w:rPr>
          <w:i/>
          <w:highlight w:val="yellow"/>
        </w:rPr>
        <w:t>R</w:t>
      </w:r>
      <w:r w:rsidR="004A5058" w:rsidRPr="00481540">
        <w:rPr>
          <w:i/>
          <w:highlight w:val="yellow"/>
        </w:rPr>
        <w:t>egional</w:t>
      </w:r>
      <w:r w:rsidR="004A5058">
        <w:rPr>
          <w:i/>
        </w:rPr>
        <w:t xml:space="preserve"> T</w:t>
      </w:r>
      <w:r w:rsidR="004A5058" w:rsidRPr="00FA2CCB">
        <w:rPr>
          <w:i/>
        </w:rPr>
        <w:t xml:space="preserve">ransmission </w:t>
      </w:r>
      <w:r w:rsidR="004A5058">
        <w:rPr>
          <w:i/>
        </w:rPr>
        <w:t>P</w:t>
      </w:r>
      <w:r w:rsidR="004A5058" w:rsidRPr="00FA2CCB">
        <w:rPr>
          <w:i/>
        </w:rPr>
        <w:t xml:space="preserve">lan </w:t>
      </w:r>
      <w:r w:rsidRPr="00FA2CCB">
        <w:rPr>
          <w:i/>
        </w:rPr>
        <w:t>within the NTTG footprint, coordination with other regional planning groups and the WECC planning committees.”</w:t>
      </w:r>
    </w:p>
    <w:p w:rsidR="008B052E" w:rsidRDefault="008B052E" w:rsidP="00DD0D9D">
      <w:r>
        <w:t xml:space="preserve">As part of </w:t>
      </w:r>
      <w:r w:rsidR="006720A9">
        <w:t>the regional</w:t>
      </w:r>
      <w:r>
        <w:t xml:space="preserve"> planning process</w:t>
      </w:r>
      <w:r w:rsidR="001D35CC">
        <w:t xml:space="preserve"> established by the Planning Committee Charter</w:t>
      </w:r>
      <w:r>
        <w:t xml:space="preserve">, </w:t>
      </w:r>
      <w:r w:rsidR="00960A78">
        <w:t xml:space="preserve">this </w:t>
      </w:r>
      <w:r>
        <w:t>plan</w:t>
      </w:r>
      <w:r w:rsidR="00A76FD9">
        <w:t>n</w:t>
      </w:r>
      <w:r w:rsidR="00481540">
        <w:t>ing</w:t>
      </w:r>
      <w:r w:rsidR="00BE64AB">
        <w:t xml:space="preserve"> practice document</w:t>
      </w:r>
      <w:r w:rsidR="00960A78">
        <w:t xml:space="preserve">, </w:t>
      </w:r>
      <w:r>
        <w:t>developed</w:t>
      </w:r>
      <w:r w:rsidR="00FA2CCB">
        <w:t xml:space="preserve"> and reviewed with </w:t>
      </w:r>
      <w:r w:rsidR="00D162D3">
        <w:t>stakeholders</w:t>
      </w:r>
      <w:r w:rsidR="00960A78">
        <w:t xml:space="preserve">, </w:t>
      </w:r>
      <w:r>
        <w:t>provide</w:t>
      </w:r>
      <w:r w:rsidR="00960A78">
        <w:t>s</w:t>
      </w:r>
      <w:r>
        <w:t xml:space="preserve"> a</w:t>
      </w:r>
      <w:r w:rsidR="00F1033E">
        <w:t xml:space="preserve"> </w:t>
      </w:r>
      <w:r>
        <w:t>framework</w:t>
      </w:r>
      <w:r w:rsidR="00D162D3">
        <w:t xml:space="preserve"> for </w:t>
      </w:r>
      <w:r w:rsidR="00BE64AB">
        <w:t>an open and transparent regional planning process</w:t>
      </w:r>
      <w:r w:rsidR="00F1033E">
        <w:t xml:space="preserve"> </w:t>
      </w:r>
      <w:r w:rsidR="00386B7C">
        <w:t>that meets the Commission requirements of Order 1000</w:t>
      </w:r>
      <w:r>
        <w:t>.</w:t>
      </w:r>
    </w:p>
    <w:p w:rsidR="00CB2219" w:rsidRPr="00DD0D9D" w:rsidRDefault="00CB2219" w:rsidP="00DD0D9D">
      <w:r>
        <w:br w:type="page"/>
      </w:r>
    </w:p>
    <w:p w:rsidR="00CB2219" w:rsidRDefault="00CB2219" w:rsidP="00C131E7">
      <w:pPr>
        <w:pStyle w:val="TOCHeading"/>
      </w:pPr>
      <w:r>
        <w:t>Contents</w:t>
      </w:r>
    </w:p>
    <w:p w:rsidR="00DD5414" w:rsidRDefault="00227808">
      <w:pPr>
        <w:pStyle w:val="TOC1"/>
        <w:rPr>
          <w:rFonts w:asciiTheme="minorHAnsi" w:eastAsiaTheme="minorEastAsia" w:hAnsiTheme="minorHAnsi" w:cstheme="minorBidi"/>
          <w:noProof/>
        </w:rPr>
      </w:pPr>
      <w:r>
        <w:fldChar w:fldCharType="begin"/>
      </w:r>
      <w:r w:rsidR="00CB2219">
        <w:instrText xml:space="preserve"> TOC \o "1-3" \h \z \u </w:instrText>
      </w:r>
      <w:r>
        <w:fldChar w:fldCharType="separate"/>
      </w:r>
      <w:hyperlink w:anchor="_Toc320179185" w:history="1">
        <w:r w:rsidR="00DD5414" w:rsidRPr="00661837">
          <w:rPr>
            <w:rStyle w:val="Hyperlink"/>
            <w:noProof/>
          </w:rPr>
          <w:t>REGIONAL PLANNING PROCESS</w:t>
        </w:r>
        <w:r w:rsidR="00DD5414">
          <w:rPr>
            <w:noProof/>
            <w:webHidden/>
          </w:rPr>
          <w:tab/>
        </w:r>
        <w:r w:rsidR="00DD5414">
          <w:rPr>
            <w:noProof/>
            <w:webHidden/>
          </w:rPr>
          <w:fldChar w:fldCharType="begin"/>
        </w:r>
        <w:r w:rsidR="00DD5414">
          <w:rPr>
            <w:noProof/>
            <w:webHidden/>
          </w:rPr>
          <w:instrText xml:space="preserve"> PAGEREF _Toc320179185 \h </w:instrText>
        </w:r>
        <w:r w:rsidR="00DD5414">
          <w:rPr>
            <w:noProof/>
            <w:webHidden/>
          </w:rPr>
        </w:r>
        <w:r w:rsidR="00DD5414">
          <w:rPr>
            <w:noProof/>
            <w:webHidden/>
          </w:rPr>
          <w:fldChar w:fldCharType="separate"/>
        </w:r>
        <w:r w:rsidR="00DD5414">
          <w:rPr>
            <w:noProof/>
            <w:webHidden/>
          </w:rPr>
          <w:t>3</w:t>
        </w:r>
        <w:r w:rsidR="00DD5414">
          <w:rPr>
            <w:noProof/>
            <w:webHidden/>
          </w:rPr>
          <w:fldChar w:fldCharType="end"/>
        </w:r>
      </w:hyperlink>
    </w:p>
    <w:p w:rsidR="00DD5414" w:rsidRDefault="00DD5414">
      <w:pPr>
        <w:pStyle w:val="TOC1"/>
        <w:rPr>
          <w:rFonts w:asciiTheme="minorHAnsi" w:eastAsiaTheme="minorEastAsia" w:hAnsiTheme="minorHAnsi" w:cstheme="minorBidi"/>
          <w:noProof/>
        </w:rPr>
      </w:pPr>
      <w:hyperlink w:anchor="_Toc320179186" w:history="1">
        <w:r w:rsidRPr="00661837">
          <w:rPr>
            <w:rStyle w:val="Hyperlink"/>
            <w:noProof/>
          </w:rPr>
          <w:t>Objective of NTTG’s Regional Transmission Planning Process</w:t>
        </w:r>
        <w:r>
          <w:rPr>
            <w:noProof/>
            <w:webHidden/>
          </w:rPr>
          <w:tab/>
        </w:r>
        <w:r>
          <w:rPr>
            <w:noProof/>
            <w:webHidden/>
          </w:rPr>
          <w:fldChar w:fldCharType="begin"/>
        </w:r>
        <w:r>
          <w:rPr>
            <w:noProof/>
            <w:webHidden/>
          </w:rPr>
          <w:instrText xml:space="preserve"> PAGEREF _Toc320179186 \h </w:instrText>
        </w:r>
        <w:r>
          <w:rPr>
            <w:noProof/>
            <w:webHidden/>
          </w:rPr>
        </w:r>
        <w:r>
          <w:rPr>
            <w:noProof/>
            <w:webHidden/>
          </w:rPr>
          <w:fldChar w:fldCharType="separate"/>
        </w:r>
        <w:r>
          <w:rPr>
            <w:noProof/>
            <w:webHidden/>
          </w:rPr>
          <w:t>3</w:t>
        </w:r>
        <w:r>
          <w:rPr>
            <w:noProof/>
            <w:webHidden/>
          </w:rPr>
          <w:fldChar w:fldCharType="end"/>
        </w:r>
      </w:hyperlink>
    </w:p>
    <w:p w:rsidR="00DD5414" w:rsidRDefault="00DD5414">
      <w:pPr>
        <w:pStyle w:val="TOC1"/>
        <w:rPr>
          <w:rFonts w:asciiTheme="minorHAnsi" w:eastAsiaTheme="minorEastAsia" w:hAnsiTheme="minorHAnsi" w:cstheme="minorBidi"/>
          <w:noProof/>
        </w:rPr>
      </w:pPr>
      <w:hyperlink w:anchor="_Toc320179187" w:history="1">
        <w:r w:rsidRPr="00661837">
          <w:rPr>
            <w:rStyle w:val="Hyperlink"/>
            <w:noProof/>
          </w:rPr>
          <w:t>Introduction</w:t>
        </w:r>
        <w:r>
          <w:rPr>
            <w:noProof/>
            <w:webHidden/>
          </w:rPr>
          <w:tab/>
        </w:r>
        <w:r>
          <w:rPr>
            <w:noProof/>
            <w:webHidden/>
          </w:rPr>
          <w:fldChar w:fldCharType="begin"/>
        </w:r>
        <w:r>
          <w:rPr>
            <w:noProof/>
            <w:webHidden/>
          </w:rPr>
          <w:instrText xml:space="preserve"> PAGEREF _Toc320179187 \h </w:instrText>
        </w:r>
        <w:r>
          <w:rPr>
            <w:noProof/>
            <w:webHidden/>
          </w:rPr>
        </w:r>
        <w:r>
          <w:rPr>
            <w:noProof/>
            <w:webHidden/>
          </w:rPr>
          <w:fldChar w:fldCharType="separate"/>
        </w:r>
        <w:r>
          <w:rPr>
            <w:noProof/>
            <w:webHidden/>
          </w:rPr>
          <w:t>3</w:t>
        </w:r>
        <w:r>
          <w:rPr>
            <w:noProof/>
            <w:webHidden/>
          </w:rPr>
          <w:fldChar w:fldCharType="end"/>
        </w:r>
      </w:hyperlink>
    </w:p>
    <w:p w:rsidR="00DD5414" w:rsidRDefault="00DD5414">
      <w:pPr>
        <w:pStyle w:val="TOC2"/>
        <w:rPr>
          <w:rFonts w:asciiTheme="minorHAnsi" w:eastAsiaTheme="minorEastAsia" w:hAnsiTheme="minorHAnsi" w:cstheme="minorBidi"/>
          <w:noProof/>
        </w:rPr>
      </w:pPr>
      <w:hyperlink w:anchor="_Toc320179188" w:history="1">
        <w:r w:rsidRPr="00661837">
          <w:rPr>
            <w:rStyle w:val="Hyperlink"/>
            <w:noProof/>
          </w:rPr>
          <w:t>Northern Tier Transmission Group</w:t>
        </w:r>
        <w:r>
          <w:rPr>
            <w:noProof/>
            <w:webHidden/>
          </w:rPr>
          <w:tab/>
        </w:r>
        <w:r>
          <w:rPr>
            <w:noProof/>
            <w:webHidden/>
          </w:rPr>
          <w:fldChar w:fldCharType="begin"/>
        </w:r>
        <w:r>
          <w:rPr>
            <w:noProof/>
            <w:webHidden/>
          </w:rPr>
          <w:instrText xml:space="preserve"> PAGEREF _Toc320179188 \h </w:instrText>
        </w:r>
        <w:r>
          <w:rPr>
            <w:noProof/>
            <w:webHidden/>
          </w:rPr>
        </w:r>
        <w:r>
          <w:rPr>
            <w:noProof/>
            <w:webHidden/>
          </w:rPr>
          <w:fldChar w:fldCharType="separate"/>
        </w:r>
        <w:r>
          <w:rPr>
            <w:noProof/>
            <w:webHidden/>
          </w:rPr>
          <w:t>3</w:t>
        </w:r>
        <w:r>
          <w:rPr>
            <w:noProof/>
            <w:webHidden/>
          </w:rPr>
          <w:fldChar w:fldCharType="end"/>
        </w:r>
      </w:hyperlink>
    </w:p>
    <w:p w:rsidR="00DD5414" w:rsidRDefault="00DD5414">
      <w:pPr>
        <w:pStyle w:val="TOC2"/>
        <w:rPr>
          <w:rFonts w:asciiTheme="minorHAnsi" w:eastAsiaTheme="minorEastAsia" w:hAnsiTheme="minorHAnsi" w:cstheme="minorBidi"/>
          <w:noProof/>
        </w:rPr>
      </w:pPr>
      <w:hyperlink w:anchor="_Toc320179189" w:history="1">
        <w:r w:rsidRPr="00661837">
          <w:rPr>
            <w:rStyle w:val="Hyperlink"/>
            <w:noProof/>
          </w:rPr>
          <w:t>Biennial Planning Process</w:t>
        </w:r>
        <w:r>
          <w:rPr>
            <w:noProof/>
            <w:webHidden/>
          </w:rPr>
          <w:tab/>
        </w:r>
        <w:r>
          <w:rPr>
            <w:noProof/>
            <w:webHidden/>
          </w:rPr>
          <w:fldChar w:fldCharType="begin"/>
        </w:r>
        <w:r>
          <w:rPr>
            <w:noProof/>
            <w:webHidden/>
          </w:rPr>
          <w:instrText xml:space="preserve"> PAGEREF _Toc320179189 \h </w:instrText>
        </w:r>
        <w:r>
          <w:rPr>
            <w:noProof/>
            <w:webHidden/>
          </w:rPr>
        </w:r>
        <w:r>
          <w:rPr>
            <w:noProof/>
            <w:webHidden/>
          </w:rPr>
          <w:fldChar w:fldCharType="separate"/>
        </w:r>
        <w:r>
          <w:rPr>
            <w:noProof/>
            <w:webHidden/>
          </w:rPr>
          <w:t>4</w:t>
        </w:r>
        <w:r>
          <w:rPr>
            <w:noProof/>
            <w:webHidden/>
          </w:rPr>
          <w:fldChar w:fldCharType="end"/>
        </w:r>
      </w:hyperlink>
    </w:p>
    <w:p w:rsidR="00DD5414" w:rsidRDefault="00DD5414">
      <w:pPr>
        <w:pStyle w:val="TOC1"/>
        <w:rPr>
          <w:rFonts w:asciiTheme="minorHAnsi" w:eastAsiaTheme="minorEastAsia" w:hAnsiTheme="minorHAnsi" w:cstheme="minorBidi"/>
          <w:noProof/>
        </w:rPr>
      </w:pPr>
      <w:hyperlink w:anchor="_Toc320179190" w:history="1">
        <w:r w:rsidRPr="00661837">
          <w:rPr>
            <w:rStyle w:val="Hyperlink"/>
            <w:noProof/>
          </w:rPr>
          <w:t>Information Gathering from Transmission Providers and Stakeholders</w:t>
        </w:r>
        <w:r>
          <w:rPr>
            <w:noProof/>
            <w:webHidden/>
          </w:rPr>
          <w:tab/>
        </w:r>
        <w:r>
          <w:rPr>
            <w:noProof/>
            <w:webHidden/>
          </w:rPr>
          <w:fldChar w:fldCharType="begin"/>
        </w:r>
        <w:r>
          <w:rPr>
            <w:noProof/>
            <w:webHidden/>
          </w:rPr>
          <w:instrText xml:space="preserve"> PAGEREF _Toc320179190 \h </w:instrText>
        </w:r>
        <w:r>
          <w:rPr>
            <w:noProof/>
            <w:webHidden/>
          </w:rPr>
        </w:r>
        <w:r>
          <w:rPr>
            <w:noProof/>
            <w:webHidden/>
          </w:rPr>
          <w:fldChar w:fldCharType="separate"/>
        </w:r>
        <w:r>
          <w:rPr>
            <w:noProof/>
            <w:webHidden/>
          </w:rPr>
          <w:t>5</w:t>
        </w:r>
        <w:r>
          <w:rPr>
            <w:noProof/>
            <w:webHidden/>
          </w:rPr>
          <w:fldChar w:fldCharType="end"/>
        </w:r>
      </w:hyperlink>
    </w:p>
    <w:p w:rsidR="00DD5414" w:rsidRDefault="00DD5414">
      <w:pPr>
        <w:pStyle w:val="TOC2"/>
        <w:rPr>
          <w:rFonts w:asciiTheme="minorHAnsi" w:eastAsiaTheme="minorEastAsia" w:hAnsiTheme="minorHAnsi" w:cstheme="minorBidi"/>
          <w:noProof/>
        </w:rPr>
      </w:pPr>
      <w:hyperlink w:anchor="_Toc320179191" w:history="1">
        <w:r w:rsidRPr="00661837">
          <w:rPr>
            <w:rStyle w:val="Hyperlink"/>
            <w:noProof/>
          </w:rPr>
          <w:t>Project Information Required from all Projects – Submitted During Quarter One</w:t>
        </w:r>
        <w:r>
          <w:rPr>
            <w:noProof/>
            <w:webHidden/>
          </w:rPr>
          <w:tab/>
        </w:r>
        <w:r>
          <w:rPr>
            <w:noProof/>
            <w:webHidden/>
          </w:rPr>
          <w:fldChar w:fldCharType="begin"/>
        </w:r>
        <w:r>
          <w:rPr>
            <w:noProof/>
            <w:webHidden/>
          </w:rPr>
          <w:instrText xml:space="preserve"> PAGEREF _Toc320179191 \h </w:instrText>
        </w:r>
        <w:r>
          <w:rPr>
            <w:noProof/>
            <w:webHidden/>
          </w:rPr>
        </w:r>
        <w:r>
          <w:rPr>
            <w:noProof/>
            <w:webHidden/>
          </w:rPr>
          <w:fldChar w:fldCharType="separate"/>
        </w:r>
        <w:r>
          <w:rPr>
            <w:noProof/>
            <w:webHidden/>
          </w:rPr>
          <w:t>7</w:t>
        </w:r>
        <w:r>
          <w:rPr>
            <w:noProof/>
            <w:webHidden/>
          </w:rPr>
          <w:fldChar w:fldCharType="end"/>
        </w:r>
      </w:hyperlink>
    </w:p>
    <w:p w:rsidR="00DD5414" w:rsidRDefault="00DD5414">
      <w:pPr>
        <w:pStyle w:val="TOC2"/>
        <w:rPr>
          <w:rFonts w:asciiTheme="minorHAnsi" w:eastAsiaTheme="minorEastAsia" w:hAnsiTheme="minorHAnsi" w:cstheme="minorBidi"/>
          <w:noProof/>
        </w:rPr>
      </w:pPr>
      <w:hyperlink w:anchor="_Toc320179192" w:history="1">
        <w:r w:rsidRPr="00661837">
          <w:rPr>
            <w:rStyle w:val="Hyperlink"/>
            <w:noProof/>
          </w:rPr>
          <w:t>Information Required for Projects Submitted for Consideration in the Regional Plan for Cost Allocation</w:t>
        </w:r>
        <w:r>
          <w:rPr>
            <w:noProof/>
            <w:webHidden/>
          </w:rPr>
          <w:tab/>
        </w:r>
        <w:r>
          <w:rPr>
            <w:noProof/>
            <w:webHidden/>
          </w:rPr>
          <w:fldChar w:fldCharType="begin"/>
        </w:r>
        <w:r>
          <w:rPr>
            <w:noProof/>
            <w:webHidden/>
          </w:rPr>
          <w:instrText xml:space="preserve"> PAGEREF _Toc320179192 \h </w:instrText>
        </w:r>
        <w:r>
          <w:rPr>
            <w:noProof/>
            <w:webHidden/>
          </w:rPr>
        </w:r>
        <w:r>
          <w:rPr>
            <w:noProof/>
            <w:webHidden/>
          </w:rPr>
          <w:fldChar w:fldCharType="separate"/>
        </w:r>
        <w:r>
          <w:rPr>
            <w:noProof/>
            <w:webHidden/>
          </w:rPr>
          <w:t>7</w:t>
        </w:r>
        <w:r>
          <w:rPr>
            <w:noProof/>
            <w:webHidden/>
          </w:rPr>
          <w:fldChar w:fldCharType="end"/>
        </w:r>
      </w:hyperlink>
    </w:p>
    <w:p w:rsidR="00DD5414" w:rsidRDefault="00DD5414">
      <w:pPr>
        <w:pStyle w:val="TOC3"/>
        <w:rPr>
          <w:rFonts w:asciiTheme="minorHAnsi" w:eastAsiaTheme="minorEastAsia" w:hAnsiTheme="minorHAnsi" w:cstheme="minorBidi"/>
          <w:noProof/>
        </w:rPr>
      </w:pPr>
      <w:hyperlink w:anchor="_Toc320179193" w:history="1">
        <w:r w:rsidRPr="00661837">
          <w:rPr>
            <w:rStyle w:val="Hyperlink"/>
            <w:noProof/>
          </w:rPr>
          <w:t>Sponsor Qualification Data – Submitted Prior to Biennial Cycle Begins</w:t>
        </w:r>
        <w:r>
          <w:rPr>
            <w:noProof/>
            <w:webHidden/>
          </w:rPr>
          <w:tab/>
        </w:r>
        <w:r>
          <w:rPr>
            <w:noProof/>
            <w:webHidden/>
          </w:rPr>
          <w:fldChar w:fldCharType="begin"/>
        </w:r>
        <w:r>
          <w:rPr>
            <w:noProof/>
            <w:webHidden/>
          </w:rPr>
          <w:instrText xml:space="preserve"> PAGEREF _Toc320179193 \h </w:instrText>
        </w:r>
        <w:r>
          <w:rPr>
            <w:noProof/>
            <w:webHidden/>
          </w:rPr>
        </w:r>
        <w:r>
          <w:rPr>
            <w:noProof/>
            <w:webHidden/>
          </w:rPr>
          <w:fldChar w:fldCharType="separate"/>
        </w:r>
        <w:r>
          <w:rPr>
            <w:noProof/>
            <w:webHidden/>
          </w:rPr>
          <w:t>7</w:t>
        </w:r>
        <w:r>
          <w:rPr>
            <w:noProof/>
            <w:webHidden/>
          </w:rPr>
          <w:fldChar w:fldCharType="end"/>
        </w:r>
      </w:hyperlink>
    </w:p>
    <w:p w:rsidR="00DD5414" w:rsidRDefault="00DD5414">
      <w:pPr>
        <w:pStyle w:val="TOC3"/>
        <w:rPr>
          <w:rFonts w:asciiTheme="minorHAnsi" w:eastAsiaTheme="minorEastAsia" w:hAnsiTheme="minorHAnsi" w:cstheme="minorBidi"/>
          <w:noProof/>
        </w:rPr>
      </w:pPr>
      <w:hyperlink w:anchor="_Toc320179194" w:history="1">
        <w:r w:rsidRPr="00661837">
          <w:rPr>
            <w:rStyle w:val="Hyperlink"/>
            <w:noProof/>
          </w:rPr>
          <w:t>Additional Cost Allocation Data – Submitted During Quarter One</w:t>
        </w:r>
        <w:r>
          <w:rPr>
            <w:noProof/>
            <w:webHidden/>
          </w:rPr>
          <w:tab/>
        </w:r>
        <w:r>
          <w:rPr>
            <w:noProof/>
            <w:webHidden/>
          </w:rPr>
          <w:fldChar w:fldCharType="begin"/>
        </w:r>
        <w:r>
          <w:rPr>
            <w:noProof/>
            <w:webHidden/>
          </w:rPr>
          <w:instrText xml:space="preserve"> PAGEREF _Toc320179194 \h </w:instrText>
        </w:r>
        <w:r>
          <w:rPr>
            <w:noProof/>
            <w:webHidden/>
          </w:rPr>
        </w:r>
        <w:r>
          <w:rPr>
            <w:noProof/>
            <w:webHidden/>
          </w:rPr>
          <w:fldChar w:fldCharType="separate"/>
        </w:r>
        <w:r>
          <w:rPr>
            <w:noProof/>
            <w:webHidden/>
          </w:rPr>
          <w:t>8</w:t>
        </w:r>
        <w:r>
          <w:rPr>
            <w:noProof/>
            <w:webHidden/>
          </w:rPr>
          <w:fldChar w:fldCharType="end"/>
        </w:r>
      </w:hyperlink>
    </w:p>
    <w:p w:rsidR="00DD5414" w:rsidRDefault="00DD5414">
      <w:pPr>
        <w:pStyle w:val="TOC3"/>
        <w:rPr>
          <w:rFonts w:asciiTheme="minorHAnsi" w:eastAsiaTheme="minorEastAsia" w:hAnsiTheme="minorHAnsi" w:cstheme="minorBidi"/>
          <w:noProof/>
        </w:rPr>
      </w:pPr>
      <w:hyperlink w:anchor="_Toc320179195" w:history="1">
        <w:r w:rsidRPr="00661837">
          <w:rPr>
            <w:rStyle w:val="Hyperlink"/>
            <w:noProof/>
          </w:rPr>
          <w:t>Timeline for Submission</w:t>
        </w:r>
        <w:r>
          <w:rPr>
            <w:noProof/>
            <w:webHidden/>
          </w:rPr>
          <w:tab/>
        </w:r>
        <w:r>
          <w:rPr>
            <w:noProof/>
            <w:webHidden/>
          </w:rPr>
          <w:fldChar w:fldCharType="begin"/>
        </w:r>
        <w:r>
          <w:rPr>
            <w:noProof/>
            <w:webHidden/>
          </w:rPr>
          <w:instrText xml:space="preserve"> PAGEREF _Toc320179195 \h </w:instrText>
        </w:r>
        <w:r>
          <w:rPr>
            <w:noProof/>
            <w:webHidden/>
          </w:rPr>
        </w:r>
        <w:r>
          <w:rPr>
            <w:noProof/>
            <w:webHidden/>
          </w:rPr>
          <w:fldChar w:fldCharType="separate"/>
        </w:r>
        <w:r>
          <w:rPr>
            <w:noProof/>
            <w:webHidden/>
          </w:rPr>
          <w:t>10</w:t>
        </w:r>
        <w:r>
          <w:rPr>
            <w:noProof/>
            <w:webHidden/>
          </w:rPr>
          <w:fldChar w:fldCharType="end"/>
        </w:r>
      </w:hyperlink>
    </w:p>
    <w:p w:rsidR="00DD5414" w:rsidRDefault="00DD5414">
      <w:pPr>
        <w:pStyle w:val="TOC2"/>
        <w:rPr>
          <w:rFonts w:asciiTheme="minorHAnsi" w:eastAsiaTheme="minorEastAsia" w:hAnsiTheme="minorHAnsi" w:cstheme="minorBidi"/>
          <w:noProof/>
        </w:rPr>
      </w:pPr>
      <w:hyperlink w:anchor="_Toc320179196" w:history="1">
        <w:r w:rsidRPr="00661837">
          <w:rPr>
            <w:rStyle w:val="Hyperlink"/>
            <w:noProof/>
          </w:rPr>
          <w:t>Regional Public Policy Need Information &amp; Data Submission</w:t>
        </w:r>
        <w:r>
          <w:rPr>
            <w:noProof/>
            <w:webHidden/>
          </w:rPr>
          <w:tab/>
        </w:r>
        <w:r>
          <w:rPr>
            <w:noProof/>
            <w:webHidden/>
          </w:rPr>
          <w:fldChar w:fldCharType="begin"/>
        </w:r>
        <w:r>
          <w:rPr>
            <w:noProof/>
            <w:webHidden/>
          </w:rPr>
          <w:instrText xml:space="preserve"> PAGEREF _Toc320179196 \h </w:instrText>
        </w:r>
        <w:r>
          <w:rPr>
            <w:noProof/>
            <w:webHidden/>
          </w:rPr>
        </w:r>
        <w:r>
          <w:rPr>
            <w:noProof/>
            <w:webHidden/>
          </w:rPr>
          <w:fldChar w:fldCharType="separate"/>
        </w:r>
        <w:r>
          <w:rPr>
            <w:noProof/>
            <w:webHidden/>
          </w:rPr>
          <w:t>10</w:t>
        </w:r>
        <w:r>
          <w:rPr>
            <w:noProof/>
            <w:webHidden/>
          </w:rPr>
          <w:fldChar w:fldCharType="end"/>
        </w:r>
      </w:hyperlink>
    </w:p>
    <w:p w:rsidR="00DD5414" w:rsidRDefault="00DD5414">
      <w:pPr>
        <w:pStyle w:val="TOC3"/>
        <w:rPr>
          <w:rFonts w:asciiTheme="minorHAnsi" w:eastAsiaTheme="minorEastAsia" w:hAnsiTheme="minorHAnsi" w:cstheme="minorBidi"/>
          <w:noProof/>
        </w:rPr>
      </w:pPr>
      <w:hyperlink w:anchor="_Toc320179197" w:history="1">
        <w:r w:rsidRPr="00661837">
          <w:rPr>
            <w:rStyle w:val="Hyperlink"/>
            <w:noProof/>
          </w:rPr>
          <w:t>Selecting the Public Policy Needs to be used in the Regional Transmission Plan</w:t>
        </w:r>
        <w:r>
          <w:rPr>
            <w:noProof/>
            <w:webHidden/>
          </w:rPr>
          <w:tab/>
        </w:r>
        <w:r>
          <w:rPr>
            <w:noProof/>
            <w:webHidden/>
          </w:rPr>
          <w:fldChar w:fldCharType="begin"/>
        </w:r>
        <w:r>
          <w:rPr>
            <w:noProof/>
            <w:webHidden/>
          </w:rPr>
          <w:instrText xml:space="preserve"> PAGEREF _Toc320179197 \h </w:instrText>
        </w:r>
        <w:r>
          <w:rPr>
            <w:noProof/>
            <w:webHidden/>
          </w:rPr>
        </w:r>
        <w:r>
          <w:rPr>
            <w:noProof/>
            <w:webHidden/>
          </w:rPr>
          <w:fldChar w:fldCharType="separate"/>
        </w:r>
        <w:r>
          <w:rPr>
            <w:noProof/>
            <w:webHidden/>
          </w:rPr>
          <w:t>11</w:t>
        </w:r>
        <w:r>
          <w:rPr>
            <w:noProof/>
            <w:webHidden/>
          </w:rPr>
          <w:fldChar w:fldCharType="end"/>
        </w:r>
      </w:hyperlink>
    </w:p>
    <w:p w:rsidR="00DD5414" w:rsidRDefault="00DD5414">
      <w:pPr>
        <w:pStyle w:val="TOC3"/>
        <w:rPr>
          <w:rFonts w:asciiTheme="minorHAnsi" w:eastAsiaTheme="minorEastAsia" w:hAnsiTheme="minorHAnsi" w:cstheme="minorBidi"/>
          <w:noProof/>
        </w:rPr>
      </w:pPr>
      <w:hyperlink w:anchor="_Toc320179198" w:history="1">
        <w:r w:rsidRPr="00661837">
          <w:rPr>
            <w:rStyle w:val="Hyperlink"/>
            <w:noProof/>
          </w:rPr>
          <w:t>Posting Requirement</w:t>
        </w:r>
        <w:r>
          <w:rPr>
            <w:noProof/>
            <w:webHidden/>
          </w:rPr>
          <w:tab/>
        </w:r>
        <w:r>
          <w:rPr>
            <w:noProof/>
            <w:webHidden/>
          </w:rPr>
          <w:fldChar w:fldCharType="begin"/>
        </w:r>
        <w:r>
          <w:rPr>
            <w:noProof/>
            <w:webHidden/>
          </w:rPr>
          <w:instrText xml:space="preserve"> PAGEREF _Toc320179198 \h </w:instrText>
        </w:r>
        <w:r>
          <w:rPr>
            <w:noProof/>
            <w:webHidden/>
          </w:rPr>
        </w:r>
        <w:r>
          <w:rPr>
            <w:noProof/>
            <w:webHidden/>
          </w:rPr>
          <w:fldChar w:fldCharType="separate"/>
        </w:r>
        <w:r>
          <w:rPr>
            <w:noProof/>
            <w:webHidden/>
          </w:rPr>
          <w:t>12</w:t>
        </w:r>
        <w:r>
          <w:rPr>
            <w:noProof/>
            <w:webHidden/>
          </w:rPr>
          <w:fldChar w:fldCharType="end"/>
        </w:r>
      </w:hyperlink>
    </w:p>
    <w:p w:rsidR="00DD5414" w:rsidRDefault="00DD5414">
      <w:pPr>
        <w:pStyle w:val="TOC3"/>
        <w:rPr>
          <w:rFonts w:asciiTheme="minorHAnsi" w:eastAsiaTheme="minorEastAsia" w:hAnsiTheme="minorHAnsi" w:cstheme="minorBidi"/>
          <w:noProof/>
        </w:rPr>
      </w:pPr>
      <w:hyperlink w:anchor="_Toc320179199" w:history="1">
        <w:r w:rsidRPr="00661837">
          <w:rPr>
            <w:rStyle w:val="Hyperlink"/>
            <w:noProof/>
          </w:rPr>
          <w:t>Public Policy Needs Evaluation in the Regional Plan</w:t>
        </w:r>
        <w:r>
          <w:rPr>
            <w:noProof/>
            <w:webHidden/>
          </w:rPr>
          <w:tab/>
        </w:r>
        <w:r>
          <w:rPr>
            <w:noProof/>
            <w:webHidden/>
          </w:rPr>
          <w:fldChar w:fldCharType="begin"/>
        </w:r>
        <w:r>
          <w:rPr>
            <w:noProof/>
            <w:webHidden/>
          </w:rPr>
          <w:instrText xml:space="preserve"> PAGEREF _Toc320179199 \h </w:instrText>
        </w:r>
        <w:r>
          <w:rPr>
            <w:noProof/>
            <w:webHidden/>
          </w:rPr>
        </w:r>
        <w:r>
          <w:rPr>
            <w:noProof/>
            <w:webHidden/>
          </w:rPr>
          <w:fldChar w:fldCharType="separate"/>
        </w:r>
        <w:r>
          <w:rPr>
            <w:noProof/>
            <w:webHidden/>
          </w:rPr>
          <w:t>12</w:t>
        </w:r>
        <w:r>
          <w:rPr>
            <w:noProof/>
            <w:webHidden/>
          </w:rPr>
          <w:fldChar w:fldCharType="end"/>
        </w:r>
      </w:hyperlink>
    </w:p>
    <w:p w:rsidR="00DD5414" w:rsidRDefault="00DD5414">
      <w:pPr>
        <w:pStyle w:val="TOC1"/>
        <w:rPr>
          <w:rFonts w:asciiTheme="minorHAnsi" w:eastAsiaTheme="minorEastAsia" w:hAnsiTheme="minorHAnsi" w:cstheme="minorBidi"/>
          <w:noProof/>
        </w:rPr>
      </w:pPr>
      <w:hyperlink w:anchor="_Toc320179200" w:history="1">
        <w:r w:rsidRPr="00661837">
          <w:rPr>
            <w:rStyle w:val="Hyperlink"/>
            <w:noProof/>
          </w:rPr>
          <w:t>Regional Transmission Plan Evaluation Process</w:t>
        </w:r>
        <w:r>
          <w:rPr>
            <w:noProof/>
            <w:webHidden/>
          </w:rPr>
          <w:tab/>
        </w:r>
        <w:r>
          <w:rPr>
            <w:noProof/>
            <w:webHidden/>
          </w:rPr>
          <w:fldChar w:fldCharType="begin"/>
        </w:r>
        <w:r>
          <w:rPr>
            <w:noProof/>
            <w:webHidden/>
          </w:rPr>
          <w:instrText xml:space="preserve"> PAGEREF _Toc320179200 \h </w:instrText>
        </w:r>
        <w:r>
          <w:rPr>
            <w:noProof/>
            <w:webHidden/>
          </w:rPr>
        </w:r>
        <w:r>
          <w:rPr>
            <w:noProof/>
            <w:webHidden/>
          </w:rPr>
          <w:fldChar w:fldCharType="separate"/>
        </w:r>
        <w:r>
          <w:rPr>
            <w:noProof/>
            <w:webHidden/>
          </w:rPr>
          <w:t>12</w:t>
        </w:r>
        <w:r>
          <w:rPr>
            <w:noProof/>
            <w:webHidden/>
          </w:rPr>
          <w:fldChar w:fldCharType="end"/>
        </w:r>
      </w:hyperlink>
    </w:p>
    <w:p w:rsidR="00DD5414" w:rsidRDefault="00DD5414">
      <w:pPr>
        <w:pStyle w:val="TOC1"/>
        <w:rPr>
          <w:rFonts w:asciiTheme="minorHAnsi" w:eastAsiaTheme="minorEastAsia" w:hAnsiTheme="minorHAnsi" w:cstheme="minorBidi"/>
          <w:noProof/>
        </w:rPr>
      </w:pPr>
      <w:hyperlink w:anchor="_Toc320179201" w:history="1">
        <w:r w:rsidRPr="00661837">
          <w:rPr>
            <w:rStyle w:val="Hyperlink"/>
            <w:noProof/>
          </w:rPr>
          <w:t>Study Plan</w:t>
        </w:r>
        <w:r>
          <w:rPr>
            <w:noProof/>
            <w:webHidden/>
          </w:rPr>
          <w:tab/>
        </w:r>
        <w:r>
          <w:rPr>
            <w:noProof/>
            <w:webHidden/>
          </w:rPr>
          <w:fldChar w:fldCharType="begin"/>
        </w:r>
        <w:r>
          <w:rPr>
            <w:noProof/>
            <w:webHidden/>
          </w:rPr>
          <w:instrText xml:space="preserve"> PAGEREF _Toc320179201 \h </w:instrText>
        </w:r>
        <w:r>
          <w:rPr>
            <w:noProof/>
            <w:webHidden/>
          </w:rPr>
        </w:r>
        <w:r>
          <w:rPr>
            <w:noProof/>
            <w:webHidden/>
          </w:rPr>
          <w:fldChar w:fldCharType="separate"/>
        </w:r>
        <w:r>
          <w:rPr>
            <w:noProof/>
            <w:webHidden/>
          </w:rPr>
          <w:t>13</w:t>
        </w:r>
        <w:r>
          <w:rPr>
            <w:noProof/>
            <w:webHidden/>
          </w:rPr>
          <w:fldChar w:fldCharType="end"/>
        </w:r>
      </w:hyperlink>
    </w:p>
    <w:p w:rsidR="00DD5414" w:rsidRDefault="00DD5414">
      <w:pPr>
        <w:pStyle w:val="TOC2"/>
        <w:rPr>
          <w:rFonts w:asciiTheme="minorHAnsi" w:eastAsiaTheme="minorEastAsia" w:hAnsiTheme="minorHAnsi" w:cstheme="minorBidi"/>
          <w:noProof/>
        </w:rPr>
      </w:pPr>
      <w:hyperlink w:anchor="_Toc320179202" w:history="1">
        <w:r w:rsidRPr="00661837">
          <w:rPr>
            <w:rStyle w:val="Hyperlink"/>
            <w:noProof/>
          </w:rPr>
          <w:t>Goal of the Study</w:t>
        </w:r>
        <w:r>
          <w:rPr>
            <w:noProof/>
            <w:webHidden/>
          </w:rPr>
          <w:tab/>
        </w:r>
        <w:r>
          <w:rPr>
            <w:noProof/>
            <w:webHidden/>
          </w:rPr>
          <w:fldChar w:fldCharType="begin"/>
        </w:r>
        <w:r>
          <w:rPr>
            <w:noProof/>
            <w:webHidden/>
          </w:rPr>
          <w:instrText xml:space="preserve"> PAGEREF _Toc320179202 \h </w:instrText>
        </w:r>
        <w:r>
          <w:rPr>
            <w:noProof/>
            <w:webHidden/>
          </w:rPr>
        </w:r>
        <w:r>
          <w:rPr>
            <w:noProof/>
            <w:webHidden/>
          </w:rPr>
          <w:fldChar w:fldCharType="separate"/>
        </w:r>
        <w:r>
          <w:rPr>
            <w:noProof/>
            <w:webHidden/>
          </w:rPr>
          <w:t>14</w:t>
        </w:r>
        <w:r>
          <w:rPr>
            <w:noProof/>
            <w:webHidden/>
          </w:rPr>
          <w:fldChar w:fldCharType="end"/>
        </w:r>
      </w:hyperlink>
    </w:p>
    <w:p w:rsidR="00DD5414" w:rsidRDefault="00DD5414">
      <w:pPr>
        <w:pStyle w:val="TOC2"/>
        <w:rPr>
          <w:rFonts w:asciiTheme="minorHAnsi" w:eastAsiaTheme="minorEastAsia" w:hAnsiTheme="minorHAnsi" w:cstheme="minorBidi"/>
          <w:noProof/>
        </w:rPr>
      </w:pPr>
      <w:hyperlink w:anchor="_Toc320179203" w:history="1">
        <w:r w:rsidRPr="00661837">
          <w:rPr>
            <w:rStyle w:val="Hyperlink"/>
            <w:noProof/>
          </w:rPr>
          <w:t>Regional Planning Process Deliverables</w:t>
        </w:r>
        <w:r>
          <w:rPr>
            <w:noProof/>
            <w:webHidden/>
          </w:rPr>
          <w:tab/>
        </w:r>
        <w:r>
          <w:rPr>
            <w:noProof/>
            <w:webHidden/>
          </w:rPr>
          <w:fldChar w:fldCharType="begin"/>
        </w:r>
        <w:r>
          <w:rPr>
            <w:noProof/>
            <w:webHidden/>
          </w:rPr>
          <w:instrText xml:space="preserve"> PAGEREF _Toc320179203 \h </w:instrText>
        </w:r>
        <w:r>
          <w:rPr>
            <w:noProof/>
            <w:webHidden/>
          </w:rPr>
        </w:r>
        <w:r>
          <w:rPr>
            <w:noProof/>
            <w:webHidden/>
          </w:rPr>
          <w:fldChar w:fldCharType="separate"/>
        </w:r>
        <w:r>
          <w:rPr>
            <w:noProof/>
            <w:webHidden/>
          </w:rPr>
          <w:t>14</w:t>
        </w:r>
        <w:r>
          <w:rPr>
            <w:noProof/>
            <w:webHidden/>
          </w:rPr>
          <w:fldChar w:fldCharType="end"/>
        </w:r>
      </w:hyperlink>
    </w:p>
    <w:p w:rsidR="00DD5414" w:rsidRDefault="00DD5414">
      <w:pPr>
        <w:pStyle w:val="TOC2"/>
        <w:rPr>
          <w:rFonts w:asciiTheme="minorHAnsi" w:eastAsiaTheme="minorEastAsia" w:hAnsiTheme="minorHAnsi" w:cstheme="minorBidi"/>
          <w:noProof/>
        </w:rPr>
      </w:pPr>
      <w:hyperlink w:anchor="_Toc320179204" w:history="1">
        <w:r w:rsidRPr="00661837">
          <w:rPr>
            <w:rStyle w:val="Hyperlink"/>
            <w:noProof/>
          </w:rPr>
          <w:t>Criteria for Selecting a Project into the Regional Transmission Plan</w:t>
        </w:r>
        <w:r>
          <w:rPr>
            <w:noProof/>
            <w:webHidden/>
          </w:rPr>
          <w:tab/>
        </w:r>
        <w:r>
          <w:rPr>
            <w:noProof/>
            <w:webHidden/>
          </w:rPr>
          <w:fldChar w:fldCharType="begin"/>
        </w:r>
        <w:r>
          <w:rPr>
            <w:noProof/>
            <w:webHidden/>
          </w:rPr>
          <w:instrText xml:space="preserve"> PAGEREF _Toc320179204 \h </w:instrText>
        </w:r>
        <w:r>
          <w:rPr>
            <w:noProof/>
            <w:webHidden/>
          </w:rPr>
        </w:r>
        <w:r>
          <w:rPr>
            <w:noProof/>
            <w:webHidden/>
          </w:rPr>
          <w:fldChar w:fldCharType="separate"/>
        </w:r>
        <w:r>
          <w:rPr>
            <w:noProof/>
            <w:webHidden/>
          </w:rPr>
          <w:t>14</w:t>
        </w:r>
        <w:r>
          <w:rPr>
            <w:noProof/>
            <w:webHidden/>
          </w:rPr>
          <w:fldChar w:fldCharType="end"/>
        </w:r>
      </w:hyperlink>
    </w:p>
    <w:p w:rsidR="00DD5414" w:rsidRDefault="00DD5414">
      <w:pPr>
        <w:pStyle w:val="TOC3"/>
        <w:rPr>
          <w:rFonts w:asciiTheme="minorHAnsi" w:eastAsiaTheme="minorEastAsia" w:hAnsiTheme="minorHAnsi" w:cstheme="minorBidi"/>
          <w:noProof/>
        </w:rPr>
      </w:pPr>
      <w:hyperlink w:anchor="_Toc320179205" w:history="1">
        <w:r w:rsidRPr="00661837">
          <w:rPr>
            <w:rStyle w:val="Hyperlink"/>
            <w:noProof/>
          </w:rPr>
          <w:t>More Efficient or Cost-Effective</w:t>
        </w:r>
        <w:r>
          <w:rPr>
            <w:noProof/>
            <w:webHidden/>
          </w:rPr>
          <w:tab/>
        </w:r>
        <w:r>
          <w:rPr>
            <w:noProof/>
            <w:webHidden/>
          </w:rPr>
          <w:fldChar w:fldCharType="begin"/>
        </w:r>
        <w:r>
          <w:rPr>
            <w:noProof/>
            <w:webHidden/>
          </w:rPr>
          <w:instrText xml:space="preserve"> PAGEREF _Toc320179205 \h </w:instrText>
        </w:r>
        <w:r>
          <w:rPr>
            <w:noProof/>
            <w:webHidden/>
          </w:rPr>
        </w:r>
        <w:r>
          <w:rPr>
            <w:noProof/>
            <w:webHidden/>
          </w:rPr>
          <w:fldChar w:fldCharType="separate"/>
        </w:r>
        <w:r>
          <w:rPr>
            <w:noProof/>
            <w:webHidden/>
          </w:rPr>
          <w:t>14</w:t>
        </w:r>
        <w:r>
          <w:rPr>
            <w:noProof/>
            <w:webHidden/>
          </w:rPr>
          <w:fldChar w:fldCharType="end"/>
        </w:r>
      </w:hyperlink>
    </w:p>
    <w:p w:rsidR="00DD5414" w:rsidRDefault="00DD5414">
      <w:pPr>
        <w:pStyle w:val="TOC3"/>
        <w:rPr>
          <w:rFonts w:asciiTheme="minorHAnsi" w:eastAsiaTheme="minorEastAsia" w:hAnsiTheme="minorHAnsi" w:cstheme="minorBidi"/>
          <w:noProof/>
        </w:rPr>
      </w:pPr>
      <w:hyperlink w:anchor="_Toc320179206" w:history="1">
        <w:r w:rsidRPr="00661837">
          <w:rPr>
            <w:rStyle w:val="Hyperlink"/>
            <w:noProof/>
          </w:rPr>
          <w:t>More Cost Effective</w:t>
        </w:r>
        <w:r>
          <w:rPr>
            <w:noProof/>
            <w:webHidden/>
          </w:rPr>
          <w:tab/>
        </w:r>
        <w:r>
          <w:rPr>
            <w:noProof/>
            <w:webHidden/>
          </w:rPr>
          <w:fldChar w:fldCharType="begin"/>
        </w:r>
        <w:r>
          <w:rPr>
            <w:noProof/>
            <w:webHidden/>
          </w:rPr>
          <w:instrText xml:space="preserve"> PAGEREF _Toc320179206 \h </w:instrText>
        </w:r>
        <w:r>
          <w:rPr>
            <w:noProof/>
            <w:webHidden/>
          </w:rPr>
        </w:r>
        <w:r>
          <w:rPr>
            <w:noProof/>
            <w:webHidden/>
          </w:rPr>
          <w:fldChar w:fldCharType="separate"/>
        </w:r>
        <w:r>
          <w:rPr>
            <w:noProof/>
            <w:webHidden/>
          </w:rPr>
          <w:t>15</w:t>
        </w:r>
        <w:r>
          <w:rPr>
            <w:noProof/>
            <w:webHidden/>
          </w:rPr>
          <w:fldChar w:fldCharType="end"/>
        </w:r>
      </w:hyperlink>
    </w:p>
    <w:p w:rsidR="00DD5414" w:rsidRDefault="00DD5414">
      <w:pPr>
        <w:pStyle w:val="TOC2"/>
        <w:rPr>
          <w:rFonts w:asciiTheme="minorHAnsi" w:eastAsiaTheme="minorEastAsia" w:hAnsiTheme="minorHAnsi" w:cstheme="minorBidi"/>
          <w:noProof/>
        </w:rPr>
      </w:pPr>
      <w:hyperlink w:anchor="_Toc320179207" w:history="1">
        <w:r w:rsidRPr="00661837">
          <w:rPr>
            <w:rStyle w:val="Hyperlink"/>
            <w:noProof/>
          </w:rPr>
          <w:t>Reevaluation Due to Delay of Development when Selected in the Regional Plan for Cost Allocation</w:t>
        </w:r>
        <w:r>
          <w:rPr>
            <w:noProof/>
            <w:webHidden/>
          </w:rPr>
          <w:tab/>
        </w:r>
        <w:r>
          <w:rPr>
            <w:noProof/>
            <w:webHidden/>
          </w:rPr>
          <w:fldChar w:fldCharType="begin"/>
        </w:r>
        <w:r>
          <w:rPr>
            <w:noProof/>
            <w:webHidden/>
          </w:rPr>
          <w:instrText xml:space="preserve"> PAGEREF _Toc320179207 \h </w:instrText>
        </w:r>
        <w:r>
          <w:rPr>
            <w:noProof/>
            <w:webHidden/>
          </w:rPr>
        </w:r>
        <w:r>
          <w:rPr>
            <w:noProof/>
            <w:webHidden/>
          </w:rPr>
          <w:fldChar w:fldCharType="separate"/>
        </w:r>
        <w:r>
          <w:rPr>
            <w:noProof/>
            <w:webHidden/>
          </w:rPr>
          <w:t>15</w:t>
        </w:r>
        <w:r>
          <w:rPr>
            <w:noProof/>
            <w:webHidden/>
          </w:rPr>
          <w:fldChar w:fldCharType="end"/>
        </w:r>
      </w:hyperlink>
    </w:p>
    <w:p w:rsidR="00DD5414" w:rsidRDefault="00DD5414">
      <w:pPr>
        <w:pStyle w:val="TOC2"/>
        <w:rPr>
          <w:rFonts w:asciiTheme="minorHAnsi" w:eastAsiaTheme="minorEastAsia" w:hAnsiTheme="minorHAnsi" w:cstheme="minorBidi"/>
          <w:noProof/>
        </w:rPr>
      </w:pPr>
      <w:hyperlink w:anchor="_Toc320179208" w:history="1">
        <w:r w:rsidRPr="00661837">
          <w:rPr>
            <w:rStyle w:val="Hyperlink"/>
            <w:noProof/>
          </w:rPr>
          <w:t>Methodology</w:t>
        </w:r>
        <w:r>
          <w:rPr>
            <w:noProof/>
            <w:webHidden/>
          </w:rPr>
          <w:tab/>
        </w:r>
        <w:r>
          <w:rPr>
            <w:noProof/>
            <w:webHidden/>
          </w:rPr>
          <w:fldChar w:fldCharType="begin"/>
        </w:r>
        <w:r>
          <w:rPr>
            <w:noProof/>
            <w:webHidden/>
          </w:rPr>
          <w:instrText xml:space="preserve"> PAGEREF _Toc320179208 \h </w:instrText>
        </w:r>
        <w:r>
          <w:rPr>
            <w:noProof/>
            <w:webHidden/>
          </w:rPr>
        </w:r>
        <w:r>
          <w:rPr>
            <w:noProof/>
            <w:webHidden/>
          </w:rPr>
          <w:fldChar w:fldCharType="separate"/>
        </w:r>
        <w:r>
          <w:rPr>
            <w:noProof/>
            <w:webHidden/>
          </w:rPr>
          <w:t>16</w:t>
        </w:r>
        <w:r>
          <w:rPr>
            <w:noProof/>
            <w:webHidden/>
          </w:rPr>
          <w:fldChar w:fldCharType="end"/>
        </w:r>
      </w:hyperlink>
    </w:p>
    <w:p w:rsidR="00DD5414" w:rsidRDefault="00DD5414">
      <w:pPr>
        <w:pStyle w:val="TOC3"/>
        <w:rPr>
          <w:rFonts w:asciiTheme="minorHAnsi" w:eastAsiaTheme="minorEastAsia" w:hAnsiTheme="minorHAnsi" w:cstheme="minorBidi"/>
          <w:noProof/>
        </w:rPr>
      </w:pPr>
      <w:hyperlink w:anchor="_Toc320179209" w:history="1">
        <w:r w:rsidRPr="00661837">
          <w:rPr>
            <w:rStyle w:val="Hyperlink"/>
            <w:noProof/>
          </w:rPr>
          <w:t>Assumptions</w:t>
        </w:r>
        <w:r>
          <w:rPr>
            <w:noProof/>
            <w:webHidden/>
          </w:rPr>
          <w:tab/>
        </w:r>
        <w:r>
          <w:rPr>
            <w:noProof/>
            <w:webHidden/>
          </w:rPr>
          <w:fldChar w:fldCharType="begin"/>
        </w:r>
        <w:r>
          <w:rPr>
            <w:noProof/>
            <w:webHidden/>
          </w:rPr>
          <w:instrText xml:space="preserve"> PAGEREF _Toc320179209 \h </w:instrText>
        </w:r>
        <w:r>
          <w:rPr>
            <w:noProof/>
            <w:webHidden/>
          </w:rPr>
        </w:r>
        <w:r>
          <w:rPr>
            <w:noProof/>
            <w:webHidden/>
          </w:rPr>
          <w:fldChar w:fldCharType="separate"/>
        </w:r>
        <w:r>
          <w:rPr>
            <w:noProof/>
            <w:webHidden/>
          </w:rPr>
          <w:t>16</w:t>
        </w:r>
        <w:r>
          <w:rPr>
            <w:noProof/>
            <w:webHidden/>
          </w:rPr>
          <w:fldChar w:fldCharType="end"/>
        </w:r>
      </w:hyperlink>
    </w:p>
    <w:p w:rsidR="00DD5414" w:rsidRDefault="00DD5414">
      <w:pPr>
        <w:pStyle w:val="TOC3"/>
        <w:rPr>
          <w:rFonts w:asciiTheme="minorHAnsi" w:eastAsiaTheme="minorEastAsia" w:hAnsiTheme="minorHAnsi" w:cstheme="minorBidi"/>
          <w:noProof/>
        </w:rPr>
      </w:pPr>
      <w:hyperlink w:anchor="_Toc320179210" w:history="1">
        <w:r w:rsidRPr="00661837">
          <w:rPr>
            <w:rStyle w:val="Hyperlink"/>
            <w:noProof/>
          </w:rPr>
          <w:t>Time Frame</w:t>
        </w:r>
        <w:r>
          <w:rPr>
            <w:noProof/>
            <w:webHidden/>
          </w:rPr>
          <w:tab/>
        </w:r>
        <w:r>
          <w:rPr>
            <w:noProof/>
            <w:webHidden/>
          </w:rPr>
          <w:fldChar w:fldCharType="begin"/>
        </w:r>
        <w:r>
          <w:rPr>
            <w:noProof/>
            <w:webHidden/>
          </w:rPr>
          <w:instrText xml:space="preserve"> PAGEREF _Toc320179210 \h </w:instrText>
        </w:r>
        <w:r>
          <w:rPr>
            <w:noProof/>
            <w:webHidden/>
          </w:rPr>
        </w:r>
        <w:r>
          <w:rPr>
            <w:noProof/>
            <w:webHidden/>
          </w:rPr>
          <w:fldChar w:fldCharType="separate"/>
        </w:r>
        <w:r>
          <w:rPr>
            <w:noProof/>
            <w:webHidden/>
          </w:rPr>
          <w:t>16</w:t>
        </w:r>
        <w:r>
          <w:rPr>
            <w:noProof/>
            <w:webHidden/>
          </w:rPr>
          <w:fldChar w:fldCharType="end"/>
        </w:r>
      </w:hyperlink>
    </w:p>
    <w:p w:rsidR="00DD5414" w:rsidRDefault="00DD5414">
      <w:pPr>
        <w:pStyle w:val="TOC3"/>
        <w:rPr>
          <w:rFonts w:asciiTheme="minorHAnsi" w:eastAsiaTheme="minorEastAsia" w:hAnsiTheme="minorHAnsi" w:cstheme="minorBidi"/>
          <w:noProof/>
        </w:rPr>
      </w:pPr>
      <w:hyperlink w:anchor="_Toc320179211" w:history="1">
        <w:r w:rsidRPr="00661837">
          <w:rPr>
            <w:rStyle w:val="Hyperlink"/>
            <w:noProof/>
          </w:rPr>
          <w:t>Study Technique</w:t>
        </w:r>
        <w:r>
          <w:rPr>
            <w:noProof/>
            <w:webHidden/>
          </w:rPr>
          <w:tab/>
        </w:r>
        <w:r>
          <w:rPr>
            <w:noProof/>
            <w:webHidden/>
          </w:rPr>
          <w:fldChar w:fldCharType="begin"/>
        </w:r>
        <w:r>
          <w:rPr>
            <w:noProof/>
            <w:webHidden/>
          </w:rPr>
          <w:instrText xml:space="preserve"> PAGEREF _Toc320179211 \h </w:instrText>
        </w:r>
        <w:r>
          <w:rPr>
            <w:noProof/>
            <w:webHidden/>
          </w:rPr>
        </w:r>
        <w:r>
          <w:rPr>
            <w:noProof/>
            <w:webHidden/>
          </w:rPr>
          <w:fldChar w:fldCharType="separate"/>
        </w:r>
        <w:r>
          <w:rPr>
            <w:noProof/>
            <w:webHidden/>
          </w:rPr>
          <w:t>16</w:t>
        </w:r>
        <w:r>
          <w:rPr>
            <w:noProof/>
            <w:webHidden/>
          </w:rPr>
          <w:fldChar w:fldCharType="end"/>
        </w:r>
      </w:hyperlink>
    </w:p>
    <w:p w:rsidR="00DD5414" w:rsidRDefault="00DD5414">
      <w:pPr>
        <w:pStyle w:val="TOC3"/>
        <w:rPr>
          <w:rFonts w:asciiTheme="minorHAnsi" w:eastAsiaTheme="minorEastAsia" w:hAnsiTheme="minorHAnsi" w:cstheme="minorBidi"/>
          <w:noProof/>
        </w:rPr>
      </w:pPr>
      <w:hyperlink w:anchor="_Toc320179212" w:history="1">
        <w:r w:rsidRPr="00661837">
          <w:rPr>
            <w:rStyle w:val="Hyperlink"/>
            <w:noProof/>
          </w:rPr>
          <w:t>System Conditions to Study</w:t>
        </w:r>
        <w:r>
          <w:rPr>
            <w:noProof/>
            <w:webHidden/>
          </w:rPr>
          <w:tab/>
        </w:r>
        <w:r>
          <w:rPr>
            <w:noProof/>
            <w:webHidden/>
          </w:rPr>
          <w:fldChar w:fldCharType="begin"/>
        </w:r>
        <w:r>
          <w:rPr>
            <w:noProof/>
            <w:webHidden/>
          </w:rPr>
          <w:instrText xml:space="preserve"> PAGEREF _Toc320179212 \h </w:instrText>
        </w:r>
        <w:r>
          <w:rPr>
            <w:noProof/>
            <w:webHidden/>
          </w:rPr>
        </w:r>
        <w:r>
          <w:rPr>
            <w:noProof/>
            <w:webHidden/>
          </w:rPr>
          <w:fldChar w:fldCharType="separate"/>
        </w:r>
        <w:r>
          <w:rPr>
            <w:noProof/>
            <w:webHidden/>
          </w:rPr>
          <w:t>17</w:t>
        </w:r>
        <w:r>
          <w:rPr>
            <w:noProof/>
            <w:webHidden/>
          </w:rPr>
          <w:fldChar w:fldCharType="end"/>
        </w:r>
      </w:hyperlink>
    </w:p>
    <w:p w:rsidR="00DD5414" w:rsidRDefault="00DD5414">
      <w:pPr>
        <w:pStyle w:val="TOC3"/>
        <w:rPr>
          <w:rFonts w:asciiTheme="minorHAnsi" w:eastAsiaTheme="minorEastAsia" w:hAnsiTheme="minorHAnsi" w:cstheme="minorBidi"/>
          <w:noProof/>
        </w:rPr>
      </w:pPr>
      <w:hyperlink w:anchor="_Toc320179213" w:history="1">
        <w:r w:rsidRPr="00661837">
          <w:rPr>
            <w:rStyle w:val="Hyperlink"/>
            <w:noProof/>
          </w:rPr>
          <w:t>Bases Cases Selected</w:t>
        </w:r>
        <w:r>
          <w:rPr>
            <w:noProof/>
            <w:webHidden/>
          </w:rPr>
          <w:tab/>
        </w:r>
        <w:r>
          <w:rPr>
            <w:noProof/>
            <w:webHidden/>
          </w:rPr>
          <w:fldChar w:fldCharType="begin"/>
        </w:r>
        <w:r>
          <w:rPr>
            <w:noProof/>
            <w:webHidden/>
          </w:rPr>
          <w:instrText xml:space="preserve"> PAGEREF _Toc320179213 \h </w:instrText>
        </w:r>
        <w:r>
          <w:rPr>
            <w:noProof/>
            <w:webHidden/>
          </w:rPr>
        </w:r>
        <w:r>
          <w:rPr>
            <w:noProof/>
            <w:webHidden/>
          </w:rPr>
          <w:fldChar w:fldCharType="separate"/>
        </w:r>
        <w:r>
          <w:rPr>
            <w:noProof/>
            <w:webHidden/>
          </w:rPr>
          <w:t>17</w:t>
        </w:r>
        <w:r>
          <w:rPr>
            <w:noProof/>
            <w:webHidden/>
          </w:rPr>
          <w:fldChar w:fldCharType="end"/>
        </w:r>
      </w:hyperlink>
    </w:p>
    <w:p w:rsidR="00DD5414" w:rsidRDefault="00DD5414">
      <w:pPr>
        <w:pStyle w:val="TOC3"/>
        <w:rPr>
          <w:rFonts w:asciiTheme="minorHAnsi" w:eastAsiaTheme="minorEastAsia" w:hAnsiTheme="minorHAnsi" w:cstheme="minorBidi"/>
          <w:noProof/>
        </w:rPr>
      </w:pPr>
      <w:hyperlink w:anchor="_Toc320179214" w:history="1">
        <w:r w:rsidRPr="00661837">
          <w:rPr>
            <w:rStyle w:val="Hyperlink"/>
            <w:noProof/>
          </w:rPr>
          <w:t>Contingencies to Run</w:t>
        </w:r>
        <w:r>
          <w:rPr>
            <w:noProof/>
            <w:webHidden/>
          </w:rPr>
          <w:tab/>
        </w:r>
        <w:r>
          <w:rPr>
            <w:noProof/>
            <w:webHidden/>
          </w:rPr>
          <w:fldChar w:fldCharType="begin"/>
        </w:r>
        <w:r>
          <w:rPr>
            <w:noProof/>
            <w:webHidden/>
          </w:rPr>
          <w:instrText xml:space="preserve"> PAGEREF _Toc320179214 \h </w:instrText>
        </w:r>
        <w:r>
          <w:rPr>
            <w:noProof/>
            <w:webHidden/>
          </w:rPr>
        </w:r>
        <w:r>
          <w:rPr>
            <w:noProof/>
            <w:webHidden/>
          </w:rPr>
          <w:fldChar w:fldCharType="separate"/>
        </w:r>
        <w:r>
          <w:rPr>
            <w:noProof/>
            <w:webHidden/>
          </w:rPr>
          <w:t>17</w:t>
        </w:r>
        <w:r>
          <w:rPr>
            <w:noProof/>
            <w:webHidden/>
          </w:rPr>
          <w:fldChar w:fldCharType="end"/>
        </w:r>
      </w:hyperlink>
    </w:p>
    <w:p w:rsidR="00DD5414" w:rsidRDefault="00DD5414">
      <w:pPr>
        <w:pStyle w:val="TOC3"/>
        <w:rPr>
          <w:rFonts w:asciiTheme="minorHAnsi" w:eastAsiaTheme="minorEastAsia" w:hAnsiTheme="minorHAnsi" w:cstheme="minorBidi"/>
          <w:noProof/>
        </w:rPr>
      </w:pPr>
      <w:hyperlink w:anchor="_Toc320179215" w:history="1">
        <w:r w:rsidRPr="00661837">
          <w:rPr>
            <w:rStyle w:val="Hyperlink"/>
            <w:noProof/>
          </w:rPr>
          <w:t>Reliability Criteria</w:t>
        </w:r>
        <w:r>
          <w:rPr>
            <w:noProof/>
            <w:webHidden/>
          </w:rPr>
          <w:tab/>
        </w:r>
        <w:r>
          <w:rPr>
            <w:noProof/>
            <w:webHidden/>
          </w:rPr>
          <w:fldChar w:fldCharType="begin"/>
        </w:r>
        <w:r>
          <w:rPr>
            <w:noProof/>
            <w:webHidden/>
          </w:rPr>
          <w:instrText xml:space="preserve"> PAGEREF _Toc320179215 \h </w:instrText>
        </w:r>
        <w:r>
          <w:rPr>
            <w:noProof/>
            <w:webHidden/>
          </w:rPr>
        </w:r>
        <w:r>
          <w:rPr>
            <w:noProof/>
            <w:webHidden/>
          </w:rPr>
          <w:fldChar w:fldCharType="separate"/>
        </w:r>
        <w:r>
          <w:rPr>
            <w:noProof/>
            <w:webHidden/>
          </w:rPr>
          <w:t>17</w:t>
        </w:r>
        <w:r>
          <w:rPr>
            <w:noProof/>
            <w:webHidden/>
          </w:rPr>
          <w:fldChar w:fldCharType="end"/>
        </w:r>
      </w:hyperlink>
    </w:p>
    <w:p w:rsidR="00DD5414" w:rsidRDefault="00DD5414">
      <w:pPr>
        <w:pStyle w:val="TOC1"/>
        <w:rPr>
          <w:rFonts w:asciiTheme="minorHAnsi" w:eastAsiaTheme="minorEastAsia" w:hAnsiTheme="minorHAnsi" w:cstheme="minorBidi"/>
          <w:noProof/>
        </w:rPr>
      </w:pPr>
      <w:hyperlink w:anchor="_Toc320179216" w:history="1">
        <w:r w:rsidRPr="00661837">
          <w:rPr>
            <w:rStyle w:val="Hyperlink"/>
            <w:noProof/>
          </w:rPr>
          <w:t>INTERREGIONAL PLANNING PROCESS</w:t>
        </w:r>
        <w:r>
          <w:rPr>
            <w:noProof/>
            <w:webHidden/>
          </w:rPr>
          <w:tab/>
        </w:r>
        <w:r>
          <w:rPr>
            <w:noProof/>
            <w:webHidden/>
          </w:rPr>
          <w:fldChar w:fldCharType="begin"/>
        </w:r>
        <w:r>
          <w:rPr>
            <w:noProof/>
            <w:webHidden/>
          </w:rPr>
          <w:instrText xml:space="preserve"> PAGEREF _Toc320179216 \h </w:instrText>
        </w:r>
        <w:r>
          <w:rPr>
            <w:noProof/>
            <w:webHidden/>
          </w:rPr>
        </w:r>
        <w:r>
          <w:rPr>
            <w:noProof/>
            <w:webHidden/>
          </w:rPr>
          <w:fldChar w:fldCharType="separate"/>
        </w:r>
        <w:r>
          <w:rPr>
            <w:noProof/>
            <w:webHidden/>
          </w:rPr>
          <w:t>17</w:t>
        </w:r>
        <w:r>
          <w:rPr>
            <w:noProof/>
            <w:webHidden/>
          </w:rPr>
          <w:fldChar w:fldCharType="end"/>
        </w:r>
      </w:hyperlink>
    </w:p>
    <w:p w:rsidR="00CB2219" w:rsidRDefault="00227808">
      <w:r>
        <w:fldChar w:fldCharType="end"/>
      </w:r>
    </w:p>
    <w:p w:rsidR="002441AF" w:rsidRDefault="00CB2219" w:rsidP="00744C92">
      <w:pPr>
        <w:pStyle w:val="Heading1"/>
      </w:pPr>
      <w:r>
        <w:br w:type="page"/>
      </w:r>
      <w:bookmarkStart w:id="0" w:name="_Toc320179185"/>
      <w:r w:rsidR="002441AF">
        <w:lastRenderedPageBreak/>
        <w:t>REGIONAL PLANNING PROCESS</w:t>
      </w:r>
      <w:bookmarkEnd w:id="0"/>
    </w:p>
    <w:p w:rsidR="00744C92" w:rsidRDefault="00744C92" w:rsidP="00744C92">
      <w:pPr>
        <w:pStyle w:val="Heading1"/>
      </w:pPr>
      <w:bookmarkStart w:id="1" w:name="_Toc320179186"/>
      <w:r>
        <w:t>Objective of NTTG’s Regional Transmission Planning Process</w:t>
      </w:r>
      <w:bookmarkEnd w:id="1"/>
    </w:p>
    <w:p w:rsidR="00744C92" w:rsidRDefault="00744C92" w:rsidP="00744C92">
      <w:pPr>
        <w:spacing w:after="120"/>
      </w:pPr>
      <w:r w:rsidRPr="00585FC2">
        <w:t xml:space="preserve">The objective of NTTG’s transmission study effort is </w:t>
      </w:r>
      <w:r w:rsidR="004C0EB3">
        <w:t>use a bottom</w:t>
      </w:r>
      <w:r w:rsidR="005D07C4">
        <w:t xml:space="preserve"> up</w:t>
      </w:r>
      <w:r w:rsidR="004C0EB3">
        <w:t xml:space="preserve"> approach </w:t>
      </w:r>
      <w:r w:rsidRPr="00585FC2">
        <w:t xml:space="preserve">to </w:t>
      </w:r>
      <w:r>
        <w:t>develop a</w:t>
      </w:r>
      <w:r w:rsidR="00DD394D">
        <w:t>n initial</w:t>
      </w:r>
      <w:r w:rsidR="0009350A">
        <w:t xml:space="preserve"> regional</w:t>
      </w:r>
      <w:r w:rsidR="004A5058">
        <w:t xml:space="preserve"> </w:t>
      </w:r>
      <w:r w:rsidR="00DD394D">
        <w:t>t</w:t>
      </w:r>
      <w:r w:rsidR="004A5058">
        <w:t xml:space="preserve">ransmission </w:t>
      </w:r>
      <w:r w:rsidR="00DD394D">
        <w:t>p</w:t>
      </w:r>
      <w:r w:rsidR="004A5058">
        <w:t xml:space="preserve">lan </w:t>
      </w:r>
      <w:r>
        <w:t>from a roll up of the transmission providers</w:t>
      </w:r>
      <w:r w:rsidR="00D17EFF">
        <w:t>’</w:t>
      </w:r>
      <w:r>
        <w:t xml:space="preserve"> local transmission plans and to </w:t>
      </w:r>
      <w:r w:rsidR="00DD394D">
        <w:t xml:space="preserve">improve upon </w:t>
      </w:r>
      <w:r>
        <w:t>that plan</w:t>
      </w:r>
      <w:r w:rsidR="00DD394D">
        <w:t>, if possible,</w:t>
      </w:r>
      <w:r>
        <w:t xml:space="preserve"> to</w:t>
      </w:r>
      <w:r w:rsidR="00015B61">
        <w:t xml:space="preserve"> </w:t>
      </w:r>
      <w:r w:rsidRPr="00585FC2">
        <w:t xml:space="preserve">develop a </w:t>
      </w:r>
      <w:r w:rsidR="004A5058">
        <w:t>R</w:t>
      </w:r>
      <w:r w:rsidR="004A5058" w:rsidRPr="00585FC2">
        <w:t xml:space="preserve">egional </w:t>
      </w:r>
      <w:r w:rsidR="004A5058">
        <w:t>T</w:t>
      </w:r>
      <w:r w:rsidR="004A5058" w:rsidRPr="00585FC2">
        <w:t xml:space="preserve">ransmission </w:t>
      </w:r>
      <w:r w:rsidR="004A5058">
        <w:t>P</w:t>
      </w:r>
      <w:r w:rsidR="004A5058" w:rsidRPr="00585FC2">
        <w:t xml:space="preserve">lan </w:t>
      </w:r>
      <w:r w:rsidRPr="00585FC2">
        <w:t xml:space="preserve">that </w:t>
      </w:r>
      <w:r w:rsidRPr="00E951DA">
        <w:t>meets</w:t>
      </w:r>
      <w:r w:rsidRPr="00585FC2">
        <w:t xml:space="preserve"> the regional transmission needs more efficiently and cost effectively than </w:t>
      </w:r>
      <w:r w:rsidR="004C0EB3">
        <w:t xml:space="preserve">the </w:t>
      </w:r>
      <w:r w:rsidRPr="00585FC2">
        <w:t>roll up of the transmission providers</w:t>
      </w:r>
      <w:r w:rsidR="00D17EFF">
        <w:t>’</w:t>
      </w:r>
      <w:r w:rsidRPr="00585FC2">
        <w:t xml:space="preserve"> local transmission plans. </w:t>
      </w:r>
    </w:p>
    <w:p w:rsidR="00CB2219" w:rsidRDefault="005E38D6" w:rsidP="00C131E7">
      <w:pPr>
        <w:pStyle w:val="Heading1"/>
      </w:pPr>
      <w:bookmarkStart w:id="2" w:name="_Toc320179187"/>
      <w:r>
        <w:t>Introduction</w:t>
      </w:r>
      <w:bookmarkEnd w:id="2"/>
    </w:p>
    <w:p w:rsidR="005E38D6" w:rsidRDefault="005E38D6" w:rsidP="005E3CFC">
      <w:pPr>
        <w:pStyle w:val="Heading2"/>
      </w:pPr>
      <w:bookmarkStart w:id="3" w:name="_Toc320179188"/>
      <w:r>
        <w:t>Northern Tier Transmission Group</w:t>
      </w:r>
      <w:bookmarkEnd w:id="3"/>
    </w:p>
    <w:p w:rsidR="005E38D6" w:rsidRPr="005E38D6" w:rsidRDefault="00227808" w:rsidP="00960A78">
      <w:pPr>
        <w:pStyle w:val="NormalWeb"/>
        <w:spacing w:before="0" w:beforeAutospacing="0" w:after="120" w:afterAutospacing="0" w:line="240" w:lineRule="auto"/>
        <w:rPr>
          <w:rFonts w:ascii="Calibri" w:hAnsi="Calibri" w:cs="Arial"/>
          <w:sz w:val="22"/>
          <w:szCs w:val="22"/>
        </w:rPr>
      </w:pPr>
      <w:r w:rsidRPr="002278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2.65pt;margin-top:82.4pt;width:222.6pt;height:264.05pt;z-index:-2" wrapcoords="-135 -113 -135 21657 21735 21657 21735 -113 -135 -113" stroked="t" strokeweight="1.25pt">
            <v:imagedata r:id="rId8" o:title=""/>
            <w10:wrap type="tight"/>
          </v:shape>
        </w:pict>
      </w:r>
      <w:r w:rsidR="005E38D6" w:rsidRPr="005E38D6">
        <w:rPr>
          <w:rFonts w:ascii="Calibri" w:hAnsi="Calibri" w:cs="Arial"/>
          <w:sz w:val="22"/>
          <w:szCs w:val="22"/>
        </w:rPr>
        <w:t xml:space="preserve">NTTG is a group of transmission providers and customers that are actively involved in the sale and purchase of transmission capacity of the power grid that delivers electricity to customers in the </w:t>
      </w:r>
      <w:r w:rsidR="005D07C4">
        <w:rPr>
          <w:rFonts w:ascii="Calibri" w:hAnsi="Calibri" w:cs="Arial"/>
          <w:sz w:val="22"/>
          <w:szCs w:val="22"/>
        </w:rPr>
        <w:t xml:space="preserve">Pacific </w:t>
      </w:r>
      <w:r w:rsidR="005E38D6" w:rsidRPr="005E38D6">
        <w:rPr>
          <w:rFonts w:ascii="Calibri" w:hAnsi="Calibri" w:cs="Arial"/>
          <w:sz w:val="22"/>
          <w:szCs w:val="22"/>
        </w:rPr>
        <w:t>Northwest and Mountain States. Transmission owners</w:t>
      </w:r>
      <w:r w:rsidR="002728B6">
        <w:rPr>
          <w:rFonts w:ascii="Calibri" w:hAnsi="Calibri" w:cs="Arial"/>
          <w:sz w:val="22"/>
          <w:szCs w:val="22"/>
        </w:rPr>
        <w:t>/providers</w:t>
      </w:r>
      <w:r w:rsidR="005E38D6" w:rsidRPr="005E38D6">
        <w:rPr>
          <w:rFonts w:ascii="Calibri" w:hAnsi="Calibri" w:cs="Arial"/>
          <w:sz w:val="22"/>
          <w:szCs w:val="22"/>
        </w:rPr>
        <w:t xml:space="preserve"> serving this territory work in conju</w:t>
      </w:r>
      <w:r w:rsidR="00855C86">
        <w:rPr>
          <w:rFonts w:ascii="Calibri" w:hAnsi="Calibri" w:cs="Arial"/>
          <w:sz w:val="22"/>
          <w:szCs w:val="22"/>
        </w:rPr>
        <w:t>n</w:t>
      </w:r>
      <w:r w:rsidR="005E38D6" w:rsidRPr="005E38D6">
        <w:rPr>
          <w:rFonts w:ascii="Calibri" w:hAnsi="Calibri" w:cs="Arial"/>
          <w:sz w:val="22"/>
          <w:szCs w:val="22"/>
        </w:rPr>
        <w:t xml:space="preserve">ction with state governments, customers, and other stakeholders to improve </w:t>
      </w:r>
      <w:r w:rsidR="002728B6">
        <w:rPr>
          <w:rFonts w:ascii="Calibri" w:hAnsi="Calibri" w:cs="Arial"/>
          <w:sz w:val="22"/>
          <w:szCs w:val="22"/>
        </w:rPr>
        <w:t xml:space="preserve">NTTG’s regional planning process to evaluate from a regional perspective </w:t>
      </w:r>
      <w:r w:rsidR="005E38D6" w:rsidRPr="005E38D6">
        <w:rPr>
          <w:rFonts w:ascii="Calibri" w:hAnsi="Calibri" w:cs="Arial"/>
          <w:sz w:val="22"/>
          <w:szCs w:val="22"/>
        </w:rPr>
        <w:t xml:space="preserve">the </w:t>
      </w:r>
      <w:r w:rsidR="002728B6">
        <w:rPr>
          <w:rFonts w:ascii="Calibri" w:hAnsi="Calibri" w:cs="Arial"/>
          <w:sz w:val="22"/>
          <w:szCs w:val="22"/>
        </w:rPr>
        <w:t>future transmission providers’ transmission systems</w:t>
      </w:r>
      <w:r w:rsidR="005E38D6" w:rsidRPr="005E38D6">
        <w:rPr>
          <w:rFonts w:ascii="Calibri" w:hAnsi="Calibri" w:cs="Arial"/>
          <w:sz w:val="22"/>
          <w:szCs w:val="22"/>
        </w:rPr>
        <w:t xml:space="preserve"> that link all </w:t>
      </w:r>
      <w:r w:rsidR="005E38D6" w:rsidRPr="00B30545">
        <w:rPr>
          <w:rFonts w:ascii="Calibri" w:hAnsi="Calibri" w:cs="Arial"/>
          <w:sz w:val="22"/>
          <w:szCs w:val="22"/>
        </w:rPr>
        <w:t xml:space="preserve">of </w:t>
      </w:r>
      <w:r w:rsidR="00960A78" w:rsidRPr="00B30545">
        <w:rPr>
          <w:rFonts w:ascii="Calibri" w:hAnsi="Calibri" w:cs="Arial"/>
          <w:sz w:val="22"/>
          <w:szCs w:val="22"/>
        </w:rPr>
        <w:t xml:space="preserve">NTTG’s </w:t>
      </w:r>
      <w:r w:rsidR="005E38D6" w:rsidRPr="00B30545">
        <w:rPr>
          <w:rFonts w:ascii="Calibri" w:hAnsi="Calibri" w:cs="Arial"/>
          <w:sz w:val="22"/>
          <w:szCs w:val="22"/>
        </w:rPr>
        <w:t>service territories</w:t>
      </w:r>
      <w:r w:rsidR="00960A78" w:rsidRPr="00B30545">
        <w:rPr>
          <w:rFonts w:ascii="Calibri" w:hAnsi="Calibri" w:cs="Arial"/>
          <w:sz w:val="22"/>
          <w:szCs w:val="22"/>
        </w:rPr>
        <w:t xml:space="preserve"> as shown in</w:t>
      </w:r>
      <w:r w:rsidR="00B30545" w:rsidRPr="00B30545">
        <w:rPr>
          <w:rFonts w:ascii="Calibri" w:hAnsi="Calibri" w:cs="Arial"/>
          <w:sz w:val="22"/>
          <w:szCs w:val="22"/>
        </w:rPr>
        <w:t xml:space="preserve"> </w:t>
      </w:r>
      <w:fldSimple w:instr=" REF _Ref317654791 \h  \* MERGEFORMAT ">
        <w:r w:rsidR="00DD5414" w:rsidRPr="00DD5414">
          <w:rPr>
            <w:rFonts w:ascii="Calibri" w:hAnsi="Calibri"/>
            <w:sz w:val="22"/>
            <w:szCs w:val="22"/>
          </w:rPr>
          <w:t xml:space="preserve">       Figure</w:t>
        </w:r>
        <w:r w:rsidR="00DD5414" w:rsidRPr="00DD5414">
          <w:rPr>
            <w:rFonts w:ascii="Calibri" w:hAnsi="Calibri"/>
            <w:noProof/>
            <w:sz w:val="22"/>
            <w:szCs w:val="22"/>
          </w:rPr>
          <w:t xml:space="preserve"> </w:t>
        </w:r>
        <w:r w:rsidR="00DD5414">
          <w:rPr>
            <w:noProof/>
          </w:rPr>
          <w:t>1</w:t>
        </w:r>
      </w:fldSimple>
      <w:r w:rsidR="005E38D6" w:rsidRPr="00B30545">
        <w:rPr>
          <w:rFonts w:ascii="Calibri" w:hAnsi="Calibri" w:cs="Arial"/>
          <w:sz w:val="22"/>
          <w:szCs w:val="22"/>
        </w:rPr>
        <w:t xml:space="preserve">. </w:t>
      </w:r>
      <w:r w:rsidR="00675CB8">
        <w:rPr>
          <w:rFonts w:ascii="Calibri" w:hAnsi="Calibri" w:cs="Arial"/>
          <w:sz w:val="22"/>
          <w:szCs w:val="22"/>
        </w:rPr>
        <w:t>NTTG’s</w:t>
      </w:r>
      <w:r w:rsidR="002728B6">
        <w:rPr>
          <w:rFonts w:ascii="Calibri" w:hAnsi="Calibri" w:cs="Arial"/>
          <w:sz w:val="22"/>
          <w:szCs w:val="22"/>
        </w:rPr>
        <w:t xml:space="preserve"> regional </w:t>
      </w:r>
      <w:r w:rsidR="00675CB8">
        <w:rPr>
          <w:rFonts w:ascii="Calibri" w:hAnsi="Calibri" w:cs="Arial"/>
          <w:sz w:val="22"/>
          <w:szCs w:val="22"/>
        </w:rPr>
        <w:t xml:space="preserve">planning </w:t>
      </w:r>
      <w:r w:rsidR="002728B6">
        <w:rPr>
          <w:rFonts w:ascii="Calibri" w:hAnsi="Calibri" w:cs="Arial"/>
          <w:sz w:val="22"/>
          <w:szCs w:val="22"/>
        </w:rPr>
        <w:t xml:space="preserve">process cannot be done </w:t>
      </w:r>
      <w:r w:rsidR="005D07C4">
        <w:rPr>
          <w:rFonts w:ascii="Calibri" w:hAnsi="Calibri" w:cs="Arial"/>
          <w:sz w:val="22"/>
          <w:szCs w:val="22"/>
        </w:rPr>
        <w:t xml:space="preserve">in </w:t>
      </w:r>
      <w:r w:rsidR="002728B6">
        <w:rPr>
          <w:rFonts w:ascii="Calibri" w:hAnsi="Calibri" w:cs="Arial"/>
          <w:sz w:val="22"/>
          <w:szCs w:val="22"/>
        </w:rPr>
        <w:t xml:space="preserve">isolation, but </w:t>
      </w:r>
      <w:r w:rsidR="00675CB8">
        <w:rPr>
          <w:rFonts w:ascii="Calibri" w:hAnsi="Calibri" w:cs="Arial"/>
          <w:sz w:val="22"/>
          <w:szCs w:val="22"/>
        </w:rPr>
        <w:t>must be</w:t>
      </w:r>
      <w:r w:rsidR="005D07C4">
        <w:rPr>
          <w:rFonts w:ascii="Calibri" w:hAnsi="Calibri" w:cs="Arial"/>
          <w:sz w:val="22"/>
          <w:szCs w:val="22"/>
        </w:rPr>
        <w:t xml:space="preserve"> </w:t>
      </w:r>
      <w:proofErr w:type="gramStart"/>
      <w:r w:rsidR="00700D4C">
        <w:rPr>
          <w:rFonts w:ascii="Calibri" w:hAnsi="Calibri" w:cs="Arial"/>
          <w:sz w:val="22"/>
          <w:szCs w:val="22"/>
        </w:rPr>
        <w:t>coordinate</w:t>
      </w:r>
      <w:r w:rsidR="00675CB8">
        <w:rPr>
          <w:rFonts w:ascii="Calibri" w:hAnsi="Calibri" w:cs="Arial"/>
          <w:sz w:val="22"/>
          <w:szCs w:val="22"/>
        </w:rPr>
        <w:t xml:space="preserve">d </w:t>
      </w:r>
      <w:r w:rsidR="00B74A04">
        <w:rPr>
          <w:rFonts w:ascii="Calibri" w:hAnsi="Calibri" w:cs="Arial"/>
          <w:sz w:val="22"/>
          <w:szCs w:val="22"/>
        </w:rPr>
        <w:t xml:space="preserve"> </w:t>
      </w:r>
      <w:r w:rsidR="00675CB8">
        <w:rPr>
          <w:rFonts w:ascii="Calibri" w:hAnsi="Calibri" w:cs="Arial"/>
          <w:sz w:val="22"/>
          <w:szCs w:val="22"/>
        </w:rPr>
        <w:t>with</w:t>
      </w:r>
      <w:proofErr w:type="gramEnd"/>
      <w:r w:rsidR="005D07C4">
        <w:rPr>
          <w:rFonts w:ascii="Calibri" w:hAnsi="Calibri" w:cs="Arial"/>
          <w:sz w:val="22"/>
          <w:szCs w:val="22"/>
        </w:rPr>
        <w:t xml:space="preserve"> adjacent </w:t>
      </w:r>
      <w:r w:rsidR="00700D4C">
        <w:rPr>
          <w:rFonts w:ascii="Calibri" w:hAnsi="Calibri" w:cs="Arial"/>
          <w:sz w:val="22"/>
          <w:szCs w:val="22"/>
        </w:rPr>
        <w:t>regional planning regions</w:t>
      </w:r>
      <w:r w:rsidR="00675CB8">
        <w:rPr>
          <w:rFonts w:ascii="Calibri" w:hAnsi="Calibri" w:cs="Arial"/>
          <w:sz w:val="22"/>
          <w:szCs w:val="22"/>
        </w:rPr>
        <w:t xml:space="preserve"> within the western interconnection and with the Western Electric Coordinating Council’s </w:t>
      </w:r>
      <w:r w:rsidR="005D07C4">
        <w:rPr>
          <w:rFonts w:ascii="Calibri" w:hAnsi="Calibri" w:cs="Arial"/>
          <w:sz w:val="22"/>
          <w:szCs w:val="22"/>
        </w:rPr>
        <w:t>interconnection-wide</w:t>
      </w:r>
      <w:r w:rsidR="00675CB8">
        <w:rPr>
          <w:rFonts w:ascii="Calibri" w:hAnsi="Calibri" w:cs="Arial"/>
          <w:sz w:val="22"/>
          <w:szCs w:val="22"/>
        </w:rPr>
        <w:t xml:space="preserve"> responsibilities</w:t>
      </w:r>
      <w:r w:rsidR="00700D4C">
        <w:rPr>
          <w:rFonts w:ascii="Calibri" w:hAnsi="Calibri" w:cs="Arial"/>
          <w:sz w:val="22"/>
          <w:szCs w:val="22"/>
        </w:rPr>
        <w:t xml:space="preserve">. </w:t>
      </w:r>
    </w:p>
    <w:p w:rsidR="005E38D6" w:rsidRDefault="005E38D6" w:rsidP="00960A78">
      <w:pPr>
        <w:pStyle w:val="NormalWeb"/>
        <w:spacing w:before="0" w:beforeAutospacing="0" w:after="120" w:afterAutospacing="0" w:line="240" w:lineRule="auto"/>
        <w:rPr>
          <w:rFonts w:ascii="Calibri" w:hAnsi="Calibri" w:cs="Arial"/>
          <w:sz w:val="22"/>
          <w:szCs w:val="22"/>
        </w:rPr>
      </w:pPr>
      <w:r w:rsidRPr="005E38D6">
        <w:rPr>
          <w:rFonts w:ascii="Calibri" w:hAnsi="Calibri" w:cs="Arial"/>
          <w:sz w:val="22"/>
          <w:szCs w:val="22"/>
        </w:rPr>
        <w:t xml:space="preserve">NTTG coordinates individual transmission systems </w:t>
      </w:r>
      <w:r w:rsidR="00700D4C">
        <w:rPr>
          <w:rFonts w:ascii="Calibri" w:hAnsi="Calibri" w:cs="Arial"/>
          <w:sz w:val="22"/>
          <w:szCs w:val="22"/>
        </w:rPr>
        <w:t>regional</w:t>
      </w:r>
      <w:r w:rsidR="00594F43">
        <w:rPr>
          <w:rFonts w:ascii="Calibri" w:hAnsi="Calibri" w:cs="Arial"/>
          <w:sz w:val="22"/>
          <w:szCs w:val="22"/>
        </w:rPr>
        <w:t xml:space="preserve"> </w:t>
      </w:r>
      <w:r w:rsidRPr="005E38D6">
        <w:rPr>
          <w:rFonts w:ascii="Calibri" w:hAnsi="Calibri" w:cs="Arial"/>
          <w:sz w:val="22"/>
          <w:szCs w:val="22"/>
        </w:rPr>
        <w:t xml:space="preserve">planning </w:t>
      </w:r>
      <w:r w:rsidR="00594F43">
        <w:rPr>
          <w:rFonts w:ascii="Calibri" w:hAnsi="Calibri" w:cs="Arial"/>
          <w:sz w:val="22"/>
          <w:szCs w:val="22"/>
        </w:rPr>
        <w:t>and cost allocation</w:t>
      </w:r>
      <w:r w:rsidR="00700D4C">
        <w:rPr>
          <w:rFonts w:ascii="Calibri" w:hAnsi="Calibri" w:cs="Arial"/>
          <w:sz w:val="22"/>
          <w:szCs w:val="22"/>
        </w:rPr>
        <w:t xml:space="preserve"> efforts</w:t>
      </w:r>
      <w:r w:rsidR="00594F43">
        <w:rPr>
          <w:rFonts w:ascii="Calibri" w:hAnsi="Calibri" w:cs="Arial"/>
          <w:sz w:val="22"/>
          <w:szCs w:val="22"/>
        </w:rPr>
        <w:t xml:space="preserve"> </w:t>
      </w:r>
      <w:r w:rsidRPr="005E38D6">
        <w:rPr>
          <w:rFonts w:ascii="Calibri" w:hAnsi="Calibri" w:cs="Arial"/>
          <w:sz w:val="22"/>
          <w:szCs w:val="22"/>
        </w:rPr>
        <w:t xml:space="preserve">of the high-voltage transmission network to meet and improve </w:t>
      </w:r>
      <w:r w:rsidR="00700D4C">
        <w:rPr>
          <w:rFonts w:ascii="Calibri" w:hAnsi="Calibri" w:cs="Arial"/>
          <w:sz w:val="22"/>
          <w:szCs w:val="22"/>
        </w:rPr>
        <w:t xml:space="preserve">regional </w:t>
      </w:r>
      <w:r w:rsidRPr="005E38D6">
        <w:rPr>
          <w:rFonts w:ascii="Calibri" w:hAnsi="Calibri" w:cs="Arial"/>
          <w:sz w:val="22"/>
          <w:szCs w:val="22"/>
        </w:rPr>
        <w:t xml:space="preserve">transmission services that deliver power to consumers. NTTG </w:t>
      </w:r>
      <w:r w:rsidR="00594F43">
        <w:rPr>
          <w:rFonts w:ascii="Calibri" w:hAnsi="Calibri" w:cs="Arial"/>
          <w:sz w:val="22"/>
          <w:szCs w:val="22"/>
        </w:rPr>
        <w:t>participating utilities</w:t>
      </w:r>
      <w:r w:rsidR="00594F43">
        <w:rPr>
          <w:rStyle w:val="FootnoteReference"/>
          <w:rFonts w:ascii="Calibri" w:hAnsi="Calibri" w:cs="Arial"/>
          <w:sz w:val="22"/>
          <w:szCs w:val="22"/>
        </w:rPr>
        <w:footnoteReference w:id="4"/>
      </w:r>
      <w:r w:rsidRPr="005E38D6">
        <w:rPr>
          <w:rFonts w:ascii="Calibri" w:hAnsi="Calibri" w:cs="Arial"/>
          <w:sz w:val="22"/>
          <w:szCs w:val="22"/>
        </w:rPr>
        <w:t xml:space="preserve"> are committed to working with stakeholders</w:t>
      </w:r>
      <w:r w:rsidR="00594F43">
        <w:rPr>
          <w:rFonts w:ascii="Calibri" w:hAnsi="Calibri" w:cs="Arial"/>
          <w:sz w:val="22"/>
          <w:szCs w:val="22"/>
        </w:rPr>
        <w:t>,</w:t>
      </w:r>
      <w:r w:rsidRPr="005E38D6">
        <w:rPr>
          <w:rFonts w:ascii="Calibri" w:hAnsi="Calibri" w:cs="Arial"/>
          <w:sz w:val="22"/>
          <w:szCs w:val="22"/>
        </w:rPr>
        <w:t xml:space="preserve"> state officials </w:t>
      </w:r>
      <w:r w:rsidR="00594F43">
        <w:rPr>
          <w:rFonts w:ascii="Calibri" w:hAnsi="Calibri" w:cs="Arial"/>
          <w:sz w:val="22"/>
          <w:szCs w:val="22"/>
        </w:rPr>
        <w:t>and other regional planning organizations</w:t>
      </w:r>
      <w:r w:rsidRPr="005E38D6">
        <w:rPr>
          <w:rFonts w:ascii="Calibri" w:hAnsi="Calibri" w:cs="Arial"/>
          <w:sz w:val="22"/>
          <w:szCs w:val="22"/>
        </w:rPr>
        <w:t xml:space="preserve"> to </w:t>
      </w:r>
      <w:r w:rsidR="00594F43">
        <w:rPr>
          <w:rFonts w:ascii="Calibri" w:hAnsi="Calibri" w:cs="Arial"/>
          <w:sz w:val="22"/>
          <w:szCs w:val="22"/>
        </w:rPr>
        <w:t xml:space="preserve">plan for </w:t>
      </w:r>
      <w:r w:rsidRPr="005E38D6">
        <w:rPr>
          <w:rFonts w:ascii="Calibri" w:hAnsi="Calibri" w:cs="Arial"/>
          <w:sz w:val="22"/>
          <w:szCs w:val="22"/>
        </w:rPr>
        <w:t xml:space="preserve">the </w:t>
      </w:r>
      <w:r w:rsidR="0048602C">
        <w:rPr>
          <w:rFonts w:ascii="Calibri" w:hAnsi="Calibri" w:cs="Arial"/>
          <w:sz w:val="22"/>
          <w:szCs w:val="22"/>
        </w:rPr>
        <w:t xml:space="preserve">regional </w:t>
      </w:r>
      <w:r w:rsidRPr="005E38D6">
        <w:rPr>
          <w:rFonts w:ascii="Calibri" w:hAnsi="Calibri" w:cs="Arial"/>
          <w:sz w:val="22"/>
          <w:szCs w:val="22"/>
        </w:rPr>
        <w:t xml:space="preserve">infrastructure needed to deliver new </w:t>
      </w:r>
      <w:r w:rsidR="00594F43">
        <w:rPr>
          <w:rFonts w:ascii="Calibri" w:hAnsi="Calibri" w:cs="Arial"/>
          <w:sz w:val="22"/>
          <w:szCs w:val="22"/>
        </w:rPr>
        <w:t xml:space="preserve">sources of energy (e.g., </w:t>
      </w:r>
      <w:r w:rsidRPr="005E38D6">
        <w:rPr>
          <w:rFonts w:ascii="Calibri" w:hAnsi="Calibri" w:cs="Arial"/>
          <w:sz w:val="22"/>
          <w:szCs w:val="22"/>
        </w:rPr>
        <w:t>renewable</w:t>
      </w:r>
      <w:r w:rsidR="00B74A04">
        <w:rPr>
          <w:rFonts w:ascii="Calibri" w:hAnsi="Calibri" w:cs="Arial"/>
          <w:sz w:val="22"/>
          <w:szCs w:val="22"/>
        </w:rPr>
        <w:t xml:space="preserve">, </w:t>
      </w:r>
      <w:r w:rsidRPr="005E38D6">
        <w:rPr>
          <w:rFonts w:ascii="Calibri" w:hAnsi="Calibri" w:cs="Arial"/>
          <w:sz w:val="22"/>
          <w:szCs w:val="22"/>
        </w:rPr>
        <w:t>thermal power</w:t>
      </w:r>
      <w:r w:rsidR="00B74A04">
        <w:rPr>
          <w:rFonts w:ascii="Calibri" w:hAnsi="Calibri" w:cs="Arial"/>
          <w:sz w:val="22"/>
          <w:szCs w:val="22"/>
        </w:rPr>
        <w:t>, etc.</w:t>
      </w:r>
      <w:r w:rsidR="00594F43">
        <w:rPr>
          <w:rFonts w:ascii="Calibri" w:hAnsi="Calibri" w:cs="Arial"/>
          <w:sz w:val="22"/>
          <w:szCs w:val="22"/>
        </w:rPr>
        <w:t>)</w:t>
      </w:r>
      <w:r w:rsidRPr="005E38D6">
        <w:rPr>
          <w:rFonts w:ascii="Calibri" w:hAnsi="Calibri" w:cs="Arial"/>
          <w:sz w:val="22"/>
          <w:szCs w:val="22"/>
        </w:rPr>
        <w:t xml:space="preserve"> resources to customers</w:t>
      </w:r>
      <w:r w:rsidR="006E1233">
        <w:rPr>
          <w:rFonts w:ascii="Calibri" w:hAnsi="Calibri" w:cs="Arial"/>
          <w:sz w:val="22"/>
          <w:szCs w:val="22"/>
        </w:rPr>
        <w:t xml:space="preserve">. </w:t>
      </w:r>
      <w:r w:rsidRPr="005E38D6">
        <w:rPr>
          <w:rFonts w:ascii="Calibri" w:hAnsi="Calibri" w:cs="Arial"/>
          <w:sz w:val="22"/>
          <w:szCs w:val="22"/>
        </w:rPr>
        <w:t xml:space="preserve">NTTG is a proactive group devoted to a collaborative, step-by-step, approach to achieve </w:t>
      </w:r>
      <w:r w:rsidR="00675CB8">
        <w:rPr>
          <w:rFonts w:ascii="Calibri" w:hAnsi="Calibri" w:cs="Arial"/>
          <w:sz w:val="22"/>
          <w:szCs w:val="22"/>
        </w:rPr>
        <w:t xml:space="preserve">efficient </w:t>
      </w:r>
      <w:r w:rsidRPr="005E38D6">
        <w:rPr>
          <w:rFonts w:ascii="Calibri" w:hAnsi="Calibri" w:cs="Arial"/>
          <w:sz w:val="22"/>
          <w:szCs w:val="22"/>
        </w:rPr>
        <w:t xml:space="preserve">and cost-effective </w:t>
      </w:r>
      <w:r w:rsidR="004A5058">
        <w:rPr>
          <w:rFonts w:ascii="Calibri" w:hAnsi="Calibri" w:cs="Arial"/>
          <w:sz w:val="22"/>
          <w:szCs w:val="22"/>
        </w:rPr>
        <w:t>R</w:t>
      </w:r>
      <w:r w:rsidR="00675CB8">
        <w:rPr>
          <w:rFonts w:ascii="Calibri" w:hAnsi="Calibri" w:cs="Arial"/>
          <w:sz w:val="22"/>
          <w:szCs w:val="22"/>
        </w:rPr>
        <w:t xml:space="preserve">egional </w:t>
      </w:r>
      <w:r w:rsidR="004A5058">
        <w:rPr>
          <w:rFonts w:ascii="Calibri" w:hAnsi="Calibri" w:cs="Arial"/>
          <w:sz w:val="22"/>
          <w:szCs w:val="22"/>
        </w:rPr>
        <w:t>T</w:t>
      </w:r>
      <w:r w:rsidR="00675CB8">
        <w:rPr>
          <w:rFonts w:ascii="Calibri" w:hAnsi="Calibri" w:cs="Arial"/>
          <w:sz w:val="22"/>
          <w:szCs w:val="22"/>
        </w:rPr>
        <w:t xml:space="preserve">ransmission </w:t>
      </w:r>
      <w:r w:rsidR="004A5058">
        <w:rPr>
          <w:rFonts w:ascii="Calibri" w:hAnsi="Calibri" w:cs="Arial"/>
          <w:sz w:val="22"/>
          <w:szCs w:val="22"/>
        </w:rPr>
        <w:t>P</w:t>
      </w:r>
      <w:r w:rsidR="00675CB8">
        <w:rPr>
          <w:rFonts w:ascii="Calibri" w:hAnsi="Calibri" w:cs="Arial"/>
          <w:sz w:val="22"/>
          <w:szCs w:val="22"/>
        </w:rPr>
        <w:t>lan</w:t>
      </w:r>
      <w:r w:rsidR="00EF13B4">
        <w:rPr>
          <w:rFonts w:ascii="Calibri" w:hAnsi="Calibri" w:cs="Arial"/>
          <w:sz w:val="22"/>
          <w:szCs w:val="22"/>
        </w:rPr>
        <w:t>.</w:t>
      </w:r>
    </w:p>
    <w:p w:rsidR="000C39CD" w:rsidRDefault="006C3214" w:rsidP="006C3214">
      <w:pPr>
        <w:pStyle w:val="Caption"/>
        <w:rPr>
          <w:rFonts w:cs="Arial"/>
        </w:rPr>
      </w:pPr>
      <w:r>
        <w:tab/>
      </w:r>
      <w:r>
        <w:tab/>
      </w:r>
      <w:r>
        <w:tab/>
      </w:r>
      <w:r>
        <w:tab/>
      </w:r>
      <w:r w:rsidR="00591215">
        <w:tab/>
      </w:r>
      <w:r>
        <w:tab/>
      </w:r>
      <w:bookmarkStart w:id="4" w:name="_Ref317654791"/>
      <w:r w:rsidR="00591215">
        <w:t xml:space="preserve">       </w:t>
      </w:r>
      <w:r>
        <w:t xml:space="preserve">Figure </w:t>
      </w:r>
      <w:fldSimple w:instr=" SEQ Figure \* ARABIC ">
        <w:r w:rsidR="00DD5414">
          <w:rPr>
            <w:noProof/>
          </w:rPr>
          <w:t>1</w:t>
        </w:r>
      </w:fldSimple>
      <w:bookmarkEnd w:id="4"/>
    </w:p>
    <w:p w:rsidR="00F9062A" w:rsidRDefault="005E3CFC" w:rsidP="005E3CFC">
      <w:pPr>
        <w:pStyle w:val="Heading2"/>
      </w:pPr>
      <w:bookmarkStart w:id="5" w:name="_Ref319657158"/>
      <w:bookmarkStart w:id="6" w:name="_Ref319657174"/>
      <w:bookmarkStart w:id="7" w:name="_Toc320179189"/>
      <w:r>
        <w:lastRenderedPageBreak/>
        <w:t xml:space="preserve">Biennial Planning </w:t>
      </w:r>
      <w:r w:rsidR="00CB4B4C">
        <w:t>Process</w:t>
      </w:r>
      <w:bookmarkEnd w:id="5"/>
      <w:bookmarkEnd w:id="6"/>
      <w:bookmarkEnd w:id="7"/>
    </w:p>
    <w:p w:rsidR="0039430C" w:rsidRDefault="00F9062A" w:rsidP="0039430C">
      <w:pPr>
        <w:spacing w:after="120"/>
        <w:rPr>
          <w:rFonts w:cs="Arial"/>
          <w:bCs/>
        </w:rPr>
      </w:pPr>
      <w:r>
        <w:t>The N</w:t>
      </w:r>
      <w:r w:rsidR="00BE3CFD">
        <w:t xml:space="preserve">TTG </w:t>
      </w:r>
      <w:r w:rsidR="0005423C">
        <w:t>t</w:t>
      </w:r>
      <w:r>
        <w:t xml:space="preserve">ransmission </w:t>
      </w:r>
      <w:r w:rsidR="0005423C">
        <w:t xml:space="preserve">planning </w:t>
      </w:r>
      <w:r w:rsidR="00B74A04">
        <w:t xml:space="preserve">process </w:t>
      </w:r>
      <w:r w:rsidR="0005423C">
        <w:t>utilize</w:t>
      </w:r>
      <w:r w:rsidR="005C65EE">
        <w:t>s</w:t>
      </w:r>
      <w:r w:rsidR="0005423C">
        <w:t xml:space="preserve"> </w:t>
      </w:r>
      <w:r w:rsidR="00B74A04">
        <w:t xml:space="preserve">its </w:t>
      </w:r>
      <w:r w:rsidR="0005423C">
        <w:t xml:space="preserve">eight quarter </w:t>
      </w:r>
      <w:r>
        <w:t xml:space="preserve">biennial planning cycle </w:t>
      </w:r>
      <w:r w:rsidR="0005423C">
        <w:t>t</w:t>
      </w:r>
      <w:r w:rsidR="00B74A04">
        <w:t>o</w:t>
      </w:r>
      <w:r w:rsidR="0005423C">
        <w:t xml:space="preserve"> </w:t>
      </w:r>
      <w:r w:rsidR="00B74A04">
        <w:t xml:space="preserve">develop </w:t>
      </w:r>
      <w:r w:rsidR="002D3183">
        <w:t xml:space="preserve">an efficient and cost-effective </w:t>
      </w:r>
      <w:r w:rsidR="004A5058">
        <w:t>Regional Transmission Plan</w:t>
      </w:r>
      <w:r w:rsidR="005C65EE">
        <w:t xml:space="preserve">. The </w:t>
      </w:r>
      <w:r w:rsidR="00950C1D">
        <w:t xml:space="preserve">regional </w:t>
      </w:r>
      <w:r w:rsidR="005C65EE">
        <w:t>planning process goal is to</w:t>
      </w:r>
      <w:r w:rsidR="002D3183">
        <w:t xml:space="preserve"> </w:t>
      </w:r>
      <w:r w:rsidR="00C46A0E">
        <w:t xml:space="preserve">analyze </w:t>
      </w:r>
      <w:r w:rsidR="00C432F0">
        <w:t xml:space="preserve">from a regional perspective </w:t>
      </w:r>
      <w:r w:rsidR="00C46A0E">
        <w:t>the roll up of the NTTG transmission providers local plans</w:t>
      </w:r>
      <w:r w:rsidR="00402CA6">
        <w:t>, merchant developer projects, non transmission projects, regional transmission solutions for public policy</w:t>
      </w:r>
      <w:r w:rsidR="00950C1D">
        <w:t xml:space="preserve"> needs</w:t>
      </w:r>
      <w:r w:rsidR="00C46A0E">
        <w:t xml:space="preserve"> </w:t>
      </w:r>
      <w:r w:rsidR="00402CA6">
        <w:t xml:space="preserve">and </w:t>
      </w:r>
      <w:r w:rsidR="00950C1D">
        <w:t xml:space="preserve">un-sponsored </w:t>
      </w:r>
      <w:r w:rsidR="00402CA6">
        <w:t xml:space="preserve">projects </w:t>
      </w:r>
      <w:r w:rsidR="00950C1D">
        <w:t>from</w:t>
      </w:r>
      <w:r w:rsidR="00402CA6">
        <w:t xml:space="preserve"> the regional planning process </w:t>
      </w:r>
      <w:r w:rsidR="00C432F0">
        <w:t xml:space="preserve">to define, if possible, </w:t>
      </w:r>
      <w:r w:rsidR="002D3183">
        <w:t xml:space="preserve">a </w:t>
      </w:r>
      <w:r w:rsidR="00B644B3">
        <w:t xml:space="preserve">single </w:t>
      </w:r>
      <w:r w:rsidR="004A5058">
        <w:t xml:space="preserve">Regional Transmission Plan </w:t>
      </w:r>
      <w:r w:rsidR="00811A8D">
        <w:t>that is more efficient and cost effective than the NTTG transmission providers’ collective local transmission plans</w:t>
      </w:r>
      <w:r>
        <w:t>.</w:t>
      </w:r>
      <w:r w:rsidR="001D35CC">
        <w:t xml:space="preserve"> </w:t>
      </w:r>
      <w:r w:rsidR="00950C1D">
        <w:t xml:space="preserve"> While the resulting </w:t>
      </w:r>
      <w:r w:rsidR="004A5058">
        <w:t>R</w:t>
      </w:r>
      <w:r w:rsidR="00950C1D">
        <w:t xml:space="preserve">egional </w:t>
      </w:r>
      <w:r w:rsidR="004A5058">
        <w:t>T</w:t>
      </w:r>
      <w:r w:rsidR="00950C1D">
        <w:t xml:space="preserve">ransmission </w:t>
      </w:r>
      <w:r w:rsidR="004A5058">
        <w:t>P</w:t>
      </w:r>
      <w:r w:rsidR="00950C1D">
        <w:t>lan</w:t>
      </w:r>
      <w:r w:rsidR="00700ED6">
        <w:t xml:space="preserve"> is not a construction plan, it</w:t>
      </w:r>
      <w:r w:rsidR="00950C1D">
        <w:t xml:space="preserve"> will provide valuable regional insight and information </w:t>
      </w:r>
      <w:r w:rsidR="00700ED6">
        <w:t xml:space="preserve">for </w:t>
      </w:r>
      <w:r w:rsidR="00950C1D">
        <w:t xml:space="preserve">all stakeholders </w:t>
      </w:r>
      <w:r w:rsidR="00700ED6">
        <w:t>to consider and potentially modify their respective plans.</w:t>
      </w:r>
    </w:p>
    <w:p w:rsidR="005817BA" w:rsidRDefault="005817BA" w:rsidP="0039430C">
      <w:pPr>
        <w:spacing w:after="120"/>
        <w:rPr>
          <w:rFonts w:cs="Arial"/>
          <w:bCs/>
        </w:rPr>
      </w:pPr>
      <w:r>
        <w:rPr>
          <w:rFonts w:cs="Arial"/>
          <w:bCs/>
        </w:rPr>
        <w:t>NTTG e</w:t>
      </w:r>
      <w:r w:rsidRPr="005817BA">
        <w:rPr>
          <w:rFonts w:cs="Arial"/>
          <w:bCs/>
        </w:rPr>
        <w:t xml:space="preserve">xisting </w:t>
      </w:r>
      <w:r>
        <w:rPr>
          <w:rFonts w:cs="Arial"/>
          <w:bCs/>
        </w:rPr>
        <w:t>e</w:t>
      </w:r>
      <w:r w:rsidRPr="005817BA">
        <w:rPr>
          <w:rFonts w:cs="Arial"/>
          <w:bCs/>
        </w:rPr>
        <w:t xml:space="preserve">ight </w:t>
      </w:r>
      <w:r>
        <w:rPr>
          <w:rFonts w:cs="Arial"/>
          <w:bCs/>
        </w:rPr>
        <w:t>q</w:t>
      </w:r>
      <w:r w:rsidRPr="005817BA">
        <w:rPr>
          <w:rFonts w:cs="Arial"/>
          <w:bCs/>
        </w:rPr>
        <w:t xml:space="preserve">uarter </w:t>
      </w:r>
      <w:r>
        <w:rPr>
          <w:rFonts w:cs="Arial"/>
          <w:bCs/>
        </w:rPr>
        <w:t>p</w:t>
      </w:r>
      <w:r w:rsidRPr="005817BA">
        <w:rPr>
          <w:rFonts w:cs="Arial"/>
          <w:bCs/>
        </w:rPr>
        <w:t xml:space="preserve">lanning </w:t>
      </w:r>
      <w:r>
        <w:rPr>
          <w:rFonts w:cs="Arial"/>
          <w:bCs/>
        </w:rPr>
        <w:t>p</w:t>
      </w:r>
      <w:r w:rsidRPr="005817BA">
        <w:rPr>
          <w:rFonts w:cs="Arial"/>
          <w:bCs/>
        </w:rPr>
        <w:t>rocess</w:t>
      </w:r>
      <w:r w:rsidR="004E71C7">
        <w:rPr>
          <w:rFonts w:cs="Arial"/>
          <w:bCs/>
        </w:rPr>
        <w:t xml:space="preserve"> is shown in</w:t>
      </w:r>
      <w:r w:rsidR="00B30545">
        <w:rPr>
          <w:rFonts w:cs="Arial"/>
          <w:bCs/>
        </w:rPr>
        <w:t xml:space="preserve"> </w:t>
      </w:r>
      <w:r w:rsidR="00227808">
        <w:rPr>
          <w:rFonts w:cs="Arial"/>
          <w:bCs/>
        </w:rPr>
        <w:fldChar w:fldCharType="begin"/>
      </w:r>
      <w:r w:rsidR="00B30545">
        <w:rPr>
          <w:rFonts w:cs="Arial"/>
          <w:bCs/>
        </w:rPr>
        <w:instrText xml:space="preserve"> REF _Ref317654857 \h </w:instrText>
      </w:r>
      <w:r w:rsidR="00227808">
        <w:rPr>
          <w:rFonts w:cs="Arial"/>
          <w:bCs/>
        </w:rPr>
      </w:r>
      <w:r w:rsidR="00227808">
        <w:rPr>
          <w:rFonts w:cs="Arial"/>
          <w:bCs/>
        </w:rPr>
        <w:fldChar w:fldCharType="separate"/>
      </w:r>
      <w:r w:rsidR="00DD5414">
        <w:t xml:space="preserve">Figure </w:t>
      </w:r>
      <w:r w:rsidR="00DD5414">
        <w:rPr>
          <w:noProof/>
        </w:rPr>
        <w:t>2</w:t>
      </w:r>
      <w:r w:rsidR="00227808">
        <w:rPr>
          <w:rFonts w:cs="Arial"/>
          <w:bCs/>
        </w:rPr>
        <w:fldChar w:fldCharType="end"/>
      </w:r>
      <w:r w:rsidR="004E71C7">
        <w:rPr>
          <w:rFonts w:cs="Arial"/>
          <w:bCs/>
        </w:rPr>
        <w:t>.</w:t>
      </w:r>
    </w:p>
    <w:p w:rsidR="00C96343" w:rsidRDefault="007A48D7" w:rsidP="00C96343">
      <w:pPr>
        <w:spacing w:after="120"/>
        <w:jc w:val="center"/>
        <w:rPr>
          <w:rFonts w:cs="Arial"/>
          <w:bCs/>
        </w:rPr>
      </w:pPr>
      <w:r>
        <w:pict>
          <v:shape id="_x0000_i1025" type="#_x0000_t75" style="width:447.6pt;height:218.05pt">
            <v:imagedata r:id="rId9" o:title=""/>
          </v:shape>
        </w:pict>
      </w:r>
    </w:p>
    <w:p w:rsidR="00373933" w:rsidRDefault="006C3214" w:rsidP="006C3214">
      <w:pPr>
        <w:pStyle w:val="Caption"/>
        <w:rPr>
          <w:rFonts w:cs="Arial"/>
        </w:rPr>
      </w:pPr>
      <w:bookmarkStart w:id="8" w:name="_Ref317654857"/>
      <w:r>
        <w:t xml:space="preserve">Figure </w:t>
      </w:r>
      <w:fldSimple w:instr=" SEQ Figure \* ARABIC ">
        <w:r w:rsidR="00DD5414">
          <w:rPr>
            <w:noProof/>
          </w:rPr>
          <w:t>2</w:t>
        </w:r>
      </w:fldSimple>
      <w:bookmarkEnd w:id="8"/>
    </w:p>
    <w:p w:rsidR="006C3214" w:rsidRDefault="00C432F0" w:rsidP="0045668A">
      <w:pPr>
        <w:spacing w:after="0"/>
        <w:ind w:left="360" w:hanging="360"/>
        <w:rPr>
          <w:rFonts w:cs="Arial"/>
        </w:rPr>
      </w:pPr>
      <w:r>
        <w:rPr>
          <w:rFonts w:cs="Arial"/>
        </w:rPr>
        <w:t xml:space="preserve">Below is a high level summary of the eight quarter planning process shown in </w:t>
      </w:r>
      <w:proofErr w:type="gramStart"/>
      <w:r w:rsidR="00227808">
        <w:rPr>
          <w:rFonts w:cs="Arial"/>
        </w:rPr>
        <w:fldChar w:fldCharType="begin"/>
      </w:r>
      <w:r>
        <w:rPr>
          <w:rFonts w:cs="Arial"/>
        </w:rPr>
        <w:instrText xml:space="preserve"> REF _Ref317654857 \h </w:instrText>
      </w:r>
      <w:r w:rsidR="00227808">
        <w:rPr>
          <w:rFonts w:cs="Arial"/>
        </w:rPr>
      </w:r>
      <w:r w:rsidR="00227808">
        <w:rPr>
          <w:rFonts w:cs="Arial"/>
        </w:rPr>
        <w:fldChar w:fldCharType="separate"/>
      </w:r>
      <w:r w:rsidR="00DD5414">
        <w:t xml:space="preserve">Figure </w:t>
      </w:r>
      <w:r w:rsidR="00DD5414">
        <w:rPr>
          <w:noProof/>
        </w:rPr>
        <w:t>2</w:t>
      </w:r>
      <w:r w:rsidR="00227808">
        <w:rPr>
          <w:rFonts w:cs="Arial"/>
        </w:rPr>
        <w:fldChar w:fldCharType="end"/>
      </w:r>
      <w:r>
        <w:rPr>
          <w:rFonts w:cs="Arial"/>
        </w:rPr>
        <w:t>.</w:t>
      </w:r>
      <w:proofErr w:type="gramEnd"/>
    </w:p>
    <w:p w:rsidR="005817BA" w:rsidRPr="005817BA" w:rsidRDefault="005817BA" w:rsidP="00591215">
      <w:pPr>
        <w:spacing w:after="0"/>
        <w:ind w:left="1440" w:hanging="1440"/>
        <w:rPr>
          <w:rFonts w:cs="Arial"/>
        </w:rPr>
      </w:pPr>
      <w:r w:rsidRPr="005817BA">
        <w:rPr>
          <w:rFonts w:cs="Arial"/>
        </w:rPr>
        <w:t>Q</w:t>
      </w:r>
      <w:r w:rsidR="00591215">
        <w:rPr>
          <w:rFonts w:cs="Arial"/>
        </w:rPr>
        <w:t xml:space="preserve">uarter </w:t>
      </w:r>
      <w:r w:rsidRPr="005817BA">
        <w:rPr>
          <w:rFonts w:cs="Arial"/>
        </w:rPr>
        <w:t xml:space="preserve">1: </w:t>
      </w:r>
      <w:r w:rsidR="00BE3CFD">
        <w:rPr>
          <w:rFonts w:cs="Arial"/>
        </w:rPr>
        <w:tab/>
      </w:r>
      <w:r w:rsidR="004D5EAF">
        <w:rPr>
          <w:rFonts w:cs="Arial"/>
        </w:rPr>
        <w:t>Gather local transmission provid</w:t>
      </w:r>
      <w:r w:rsidR="000A76FD">
        <w:rPr>
          <w:rFonts w:cs="Arial"/>
        </w:rPr>
        <w:t>e</w:t>
      </w:r>
      <w:r w:rsidR="007370AF">
        <w:rPr>
          <w:rFonts w:cs="Arial"/>
        </w:rPr>
        <w:t>r</w:t>
      </w:r>
      <w:r w:rsidR="000A76FD">
        <w:rPr>
          <w:rFonts w:cs="Arial"/>
        </w:rPr>
        <w:t>s</w:t>
      </w:r>
      <w:r w:rsidR="007370AF">
        <w:rPr>
          <w:rFonts w:cs="Arial"/>
        </w:rPr>
        <w:t>’</w:t>
      </w:r>
      <w:r w:rsidR="000A76FD">
        <w:rPr>
          <w:rFonts w:cs="Arial"/>
        </w:rPr>
        <w:t xml:space="preserve"> plans</w:t>
      </w:r>
      <w:r w:rsidR="007370AF">
        <w:rPr>
          <w:rFonts w:cs="Arial"/>
        </w:rPr>
        <w:t xml:space="preserve">, </w:t>
      </w:r>
      <w:r w:rsidR="00BE01A1">
        <w:rPr>
          <w:rFonts w:cs="Arial"/>
        </w:rPr>
        <w:t xml:space="preserve">that </w:t>
      </w:r>
      <w:r w:rsidR="007370AF">
        <w:rPr>
          <w:rFonts w:cs="Arial"/>
        </w:rPr>
        <w:t>includ</w:t>
      </w:r>
      <w:r w:rsidR="00BE01A1">
        <w:rPr>
          <w:rFonts w:cs="Arial"/>
        </w:rPr>
        <w:t>e</w:t>
      </w:r>
      <w:r w:rsidR="007370AF">
        <w:rPr>
          <w:rFonts w:cs="Arial"/>
        </w:rPr>
        <w:t xml:space="preserve"> public policy</w:t>
      </w:r>
      <w:r w:rsidR="00911760">
        <w:rPr>
          <w:rFonts w:cs="Arial"/>
        </w:rPr>
        <w:t xml:space="preserve"> need</w:t>
      </w:r>
      <w:r w:rsidR="007370AF">
        <w:rPr>
          <w:rFonts w:cs="Arial"/>
        </w:rPr>
        <w:t xml:space="preserve"> </w:t>
      </w:r>
      <w:r w:rsidR="009717FE">
        <w:rPr>
          <w:rFonts w:cs="Arial"/>
        </w:rPr>
        <w:t>information &amp; data</w:t>
      </w:r>
      <w:r w:rsidR="007370AF">
        <w:rPr>
          <w:rFonts w:cs="Arial"/>
        </w:rPr>
        <w:t>;</w:t>
      </w:r>
      <w:r w:rsidR="000A76FD">
        <w:rPr>
          <w:rFonts w:cs="Arial"/>
        </w:rPr>
        <w:t xml:space="preserve"> g</w:t>
      </w:r>
      <w:r w:rsidR="004F2A40">
        <w:rPr>
          <w:rFonts w:cs="Arial"/>
        </w:rPr>
        <w:t xml:space="preserve">ather information for </w:t>
      </w:r>
      <w:r w:rsidR="00BE01A1">
        <w:rPr>
          <w:rFonts w:cs="Arial"/>
        </w:rPr>
        <w:t xml:space="preserve">public policy needs and </w:t>
      </w:r>
      <w:r w:rsidR="004F2A40">
        <w:rPr>
          <w:rFonts w:cs="Arial"/>
        </w:rPr>
        <w:t xml:space="preserve">transmission and non-transmission alternatives </w:t>
      </w:r>
      <w:r w:rsidRPr="005817BA">
        <w:rPr>
          <w:rFonts w:cs="Arial"/>
        </w:rPr>
        <w:t xml:space="preserve">from </w:t>
      </w:r>
      <w:r w:rsidR="005E3CFC">
        <w:rPr>
          <w:rFonts w:cs="Arial"/>
        </w:rPr>
        <w:t>transmission providers</w:t>
      </w:r>
      <w:r w:rsidR="000826B3">
        <w:rPr>
          <w:rFonts w:cs="Arial"/>
        </w:rPr>
        <w:t>, merchant project</w:t>
      </w:r>
      <w:r w:rsidR="0039430C">
        <w:rPr>
          <w:rFonts w:cs="Arial"/>
        </w:rPr>
        <w:t xml:space="preserve"> developer</w:t>
      </w:r>
      <w:r w:rsidR="000826B3">
        <w:rPr>
          <w:rFonts w:cs="Arial"/>
        </w:rPr>
        <w:t>s</w:t>
      </w:r>
      <w:r w:rsidR="00C432F0">
        <w:rPr>
          <w:rFonts w:cs="Arial"/>
        </w:rPr>
        <w:t xml:space="preserve"> and</w:t>
      </w:r>
      <w:r w:rsidR="00B634D7">
        <w:rPr>
          <w:rFonts w:cs="Arial"/>
        </w:rPr>
        <w:t xml:space="preserve"> stakeholders</w:t>
      </w:r>
      <w:r w:rsidR="00C432F0">
        <w:rPr>
          <w:rFonts w:cs="Arial"/>
        </w:rPr>
        <w:t>;</w:t>
      </w:r>
      <w:r w:rsidR="000826B3">
        <w:rPr>
          <w:rFonts w:cs="Arial"/>
        </w:rPr>
        <w:t xml:space="preserve"> </w:t>
      </w:r>
      <w:r w:rsidR="00C432F0">
        <w:rPr>
          <w:rFonts w:cs="Arial"/>
        </w:rPr>
        <w:t xml:space="preserve">gather </w:t>
      </w:r>
      <w:r w:rsidR="000826B3">
        <w:rPr>
          <w:rFonts w:cs="Arial"/>
        </w:rPr>
        <w:t>prior NTTG biennial plan</w:t>
      </w:r>
      <w:r w:rsidR="00BE01A1">
        <w:rPr>
          <w:rFonts w:cs="Arial"/>
        </w:rPr>
        <w:t xml:space="preserve"> results</w:t>
      </w:r>
      <w:r w:rsidR="00C432F0">
        <w:rPr>
          <w:rFonts w:cs="Arial"/>
        </w:rPr>
        <w:t xml:space="preserve"> and</w:t>
      </w:r>
      <w:r w:rsidR="0039430C">
        <w:rPr>
          <w:rFonts w:cs="Arial"/>
        </w:rPr>
        <w:t xml:space="preserve"> </w:t>
      </w:r>
      <w:r w:rsidR="00BE01A1">
        <w:rPr>
          <w:rFonts w:cs="Arial"/>
        </w:rPr>
        <w:t xml:space="preserve">results from </w:t>
      </w:r>
      <w:r w:rsidR="0039430C">
        <w:rPr>
          <w:rFonts w:cs="Arial"/>
        </w:rPr>
        <w:t>prior</w:t>
      </w:r>
      <w:r w:rsidR="007370AF">
        <w:rPr>
          <w:rFonts w:cs="Arial"/>
        </w:rPr>
        <w:t xml:space="preserve"> </w:t>
      </w:r>
      <w:r w:rsidR="00A55FA7">
        <w:rPr>
          <w:rFonts w:cs="Arial"/>
        </w:rPr>
        <w:t xml:space="preserve">eligible customer and </w:t>
      </w:r>
      <w:r w:rsidR="007370AF">
        <w:rPr>
          <w:rFonts w:cs="Arial"/>
        </w:rPr>
        <w:t>stakeholder</w:t>
      </w:r>
      <w:r w:rsidR="0039430C">
        <w:rPr>
          <w:rFonts w:cs="Arial"/>
        </w:rPr>
        <w:t xml:space="preserve"> economic </w:t>
      </w:r>
      <w:r w:rsidR="00FE126D">
        <w:rPr>
          <w:rFonts w:cs="Arial"/>
        </w:rPr>
        <w:t xml:space="preserve">congestion </w:t>
      </w:r>
      <w:r w:rsidR="0039430C">
        <w:rPr>
          <w:rFonts w:cs="Arial"/>
        </w:rPr>
        <w:t>stud</w:t>
      </w:r>
      <w:r w:rsidR="00BE01A1">
        <w:rPr>
          <w:rFonts w:cs="Arial"/>
        </w:rPr>
        <w:t>ies</w:t>
      </w:r>
      <w:r w:rsidR="003807CC">
        <w:rPr>
          <w:rFonts w:cs="Arial"/>
        </w:rPr>
        <w:t xml:space="preserve">; </w:t>
      </w:r>
      <w:r w:rsidR="001F189E">
        <w:rPr>
          <w:rFonts w:cs="Arial"/>
        </w:rPr>
        <w:t xml:space="preserve">and receive </w:t>
      </w:r>
      <w:r w:rsidR="00A55FA7">
        <w:rPr>
          <w:rFonts w:cs="Arial"/>
        </w:rPr>
        <w:t>new economic congestion study requests from eligible customers and</w:t>
      </w:r>
      <w:r w:rsidR="00FE126D">
        <w:rPr>
          <w:rFonts w:cs="Arial"/>
        </w:rPr>
        <w:t xml:space="preserve"> </w:t>
      </w:r>
      <w:r w:rsidR="007370AF">
        <w:rPr>
          <w:rFonts w:cs="Arial"/>
        </w:rPr>
        <w:t>stakeholder</w:t>
      </w:r>
      <w:r w:rsidR="00A55FA7">
        <w:rPr>
          <w:rFonts w:cs="Arial"/>
        </w:rPr>
        <w:t>s</w:t>
      </w:r>
      <w:r w:rsidR="00BE01A1">
        <w:rPr>
          <w:rStyle w:val="FootnoteReference"/>
          <w:rFonts w:cs="Arial"/>
        </w:rPr>
        <w:footnoteReference w:id="5"/>
      </w:r>
      <w:r w:rsidR="001F189E">
        <w:rPr>
          <w:rFonts w:cs="Arial"/>
        </w:rPr>
        <w:t>.</w:t>
      </w:r>
    </w:p>
    <w:p w:rsidR="005817BA" w:rsidRDefault="005817BA" w:rsidP="00591215">
      <w:pPr>
        <w:spacing w:after="0"/>
        <w:ind w:left="1440" w:hanging="1440"/>
        <w:rPr>
          <w:rFonts w:cs="Arial"/>
        </w:rPr>
      </w:pPr>
      <w:r w:rsidRPr="005817BA">
        <w:rPr>
          <w:rFonts w:cs="Arial"/>
        </w:rPr>
        <w:lastRenderedPageBreak/>
        <w:t>Q</w:t>
      </w:r>
      <w:r w:rsidR="00591215">
        <w:rPr>
          <w:rFonts w:cs="Arial"/>
        </w:rPr>
        <w:t xml:space="preserve">uarter </w:t>
      </w:r>
      <w:r w:rsidRPr="005817BA">
        <w:rPr>
          <w:rFonts w:cs="Arial"/>
        </w:rPr>
        <w:t xml:space="preserve">2: </w:t>
      </w:r>
      <w:r w:rsidR="00BE3CFD">
        <w:rPr>
          <w:rFonts w:cs="Arial"/>
        </w:rPr>
        <w:tab/>
      </w:r>
      <w:r w:rsidR="003807CC">
        <w:rPr>
          <w:rFonts w:cs="Arial"/>
        </w:rPr>
        <w:t>Develop the b</w:t>
      </w:r>
      <w:r w:rsidR="0039430C">
        <w:rPr>
          <w:rFonts w:cs="Arial"/>
        </w:rPr>
        <w:t>iennial s</w:t>
      </w:r>
      <w:r w:rsidRPr="005817BA">
        <w:rPr>
          <w:rFonts w:cs="Arial"/>
        </w:rPr>
        <w:t>tudy plan with stakeholder input</w:t>
      </w:r>
      <w:r w:rsidR="0039430C">
        <w:rPr>
          <w:rFonts w:cs="Arial"/>
        </w:rPr>
        <w:t xml:space="preserve"> </w:t>
      </w:r>
      <w:r w:rsidR="00C432F0">
        <w:rPr>
          <w:rFonts w:cs="Arial"/>
        </w:rPr>
        <w:t xml:space="preserve">and </w:t>
      </w:r>
      <w:r w:rsidR="005E5FA0">
        <w:rPr>
          <w:rFonts w:cs="Arial"/>
        </w:rPr>
        <w:t xml:space="preserve">perform approved </w:t>
      </w:r>
      <w:r w:rsidR="001F189E">
        <w:rPr>
          <w:rFonts w:cs="Arial"/>
        </w:rPr>
        <w:t xml:space="preserve">economic </w:t>
      </w:r>
      <w:r w:rsidR="00FE126D">
        <w:rPr>
          <w:rFonts w:cs="Arial"/>
        </w:rPr>
        <w:t xml:space="preserve">congestion </w:t>
      </w:r>
      <w:r w:rsidR="001F189E">
        <w:rPr>
          <w:rFonts w:cs="Arial"/>
        </w:rPr>
        <w:t>stud</w:t>
      </w:r>
      <w:r w:rsidR="0045668A">
        <w:rPr>
          <w:rFonts w:cs="Arial"/>
        </w:rPr>
        <w:t>ies</w:t>
      </w:r>
      <w:r w:rsidR="0039430C">
        <w:rPr>
          <w:rFonts w:cs="Arial"/>
        </w:rPr>
        <w:t>.</w:t>
      </w:r>
      <w:r w:rsidR="000C2314">
        <w:rPr>
          <w:rFonts w:cs="Arial"/>
        </w:rPr>
        <w:t xml:space="preserve"> Receive approval of the study plan from NTTG Steering Committee.</w:t>
      </w:r>
    </w:p>
    <w:p w:rsidR="007370AF" w:rsidRPr="005817BA" w:rsidRDefault="007370AF" w:rsidP="00690A1E">
      <w:pPr>
        <w:spacing w:after="0"/>
        <w:ind w:left="1440" w:hanging="1440"/>
        <w:rPr>
          <w:rFonts w:cs="Arial"/>
          <w:b/>
          <w:bCs/>
        </w:rPr>
      </w:pPr>
      <w:r>
        <w:rPr>
          <w:rFonts w:cs="Arial"/>
        </w:rPr>
        <w:t>Q</w:t>
      </w:r>
      <w:r w:rsidR="00690A1E">
        <w:rPr>
          <w:rFonts w:cs="Arial"/>
        </w:rPr>
        <w:t xml:space="preserve">uarter </w:t>
      </w:r>
      <w:r>
        <w:rPr>
          <w:rFonts w:cs="Arial"/>
        </w:rPr>
        <w:t>3:</w:t>
      </w:r>
      <w:r>
        <w:rPr>
          <w:rFonts w:cs="Arial"/>
        </w:rPr>
        <w:tab/>
        <w:t xml:space="preserve">Report economic </w:t>
      </w:r>
      <w:r w:rsidR="00FE126D">
        <w:rPr>
          <w:rFonts w:cs="Arial"/>
        </w:rPr>
        <w:t xml:space="preserve">congestion </w:t>
      </w:r>
      <w:r>
        <w:rPr>
          <w:rFonts w:cs="Arial"/>
        </w:rPr>
        <w:t>study results from request</w:t>
      </w:r>
      <w:r w:rsidR="000C2314">
        <w:rPr>
          <w:rFonts w:cs="Arial"/>
        </w:rPr>
        <w:t>s</w:t>
      </w:r>
      <w:r>
        <w:rPr>
          <w:rFonts w:cs="Arial"/>
        </w:rPr>
        <w:t xml:space="preserve"> received during </w:t>
      </w:r>
      <w:r w:rsidR="00690A1E">
        <w:rPr>
          <w:rFonts w:cs="Arial"/>
        </w:rPr>
        <w:t xml:space="preserve">quarter </w:t>
      </w:r>
      <w:r>
        <w:rPr>
          <w:rFonts w:cs="Arial"/>
        </w:rPr>
        <w:t>1.</w:t>
      </w:r>
    </w:p>
    <w:p w:rsidR="005817BA" w:rsidRPr="005817BA" w:rsidRDefault="005817BA" w:rsidP="00690A1E">
      <w:pPr>
        <w:spacing w:after="0"/>
        <w:ind w:left="1440" w:hanging="1440"/>
        <w:rPr>
          <w:rFonts w:cs="Arial"/>
        </w:rPr>
      </w:pPr>
      <w:r w:rsidRPr="005817BA">
        <w:rPr>
          <w:rFonts w:cs="Arial"/>
        </w:rPr>
        <w:t>Q</w:t>
      </w:r>
      <w:r w:rsidR="00690A1E">
        <w:rPr>
          <w:rFonts w:cs="Arial"/>
        </w:rPr>
        <w:t xml:space="preserve">uarters </w:t>
      </w:r>
      <w:r w:rsidRPr="005817BA">
        <w:rPr>
          <w:rFonts w:cs="Arial"/>
        </w:rPr>
        <w:t>3</w:t>
      </w:r>
      <w:r w:rsidR="0045668A">
        <w:rPr>
          <w:rFonts w:cs="Arial"/>
        </w:rPr>
        <w:t>-</w:t>
      </w:r>
      <w:r w:rsidRPr="005817BA">
        <w:rPr>
          <w:rFonts w:cs="Arial"/>
        </w:rPr>
        <w:t xml:space="preserve">4: </w:t>
      </w:r>
      <w:r w:rsidR="00BE3CFD">
        <w:rPr>
          <w:rFonts w:cs="Arial"/>
        </w:rPr>
        <w:tab/>
      </w:r>
      <w:r w:rsidR="003807CC">
        <w:rPr>
          <w:rFonts w:cs="Arial"/>
        </w:rPr>
        <w:t>Analyze regional transmission alternatives and d</w:t>
      </w:r>
      <w:r w:rsidR="0045668A">
        <w:rPr>
          <w:rFonts w:cs="Arial"/>
        </w:rPr>
        <w:t>evelop a d</w:t>
      </w:r>
      <w:r w:rsidRPr="005817BA">
        <w:rPr>
          <w:rFonts w:cs="Arial"/>
        </w:rPr>
        <w:t xml:space="preserve">raft </w:t>
      </w:r>
      <w:r w:rsidR="003807CC">
        <w:rPr>
          <w:rFonts w:cs="Arial"/>
        </w:rPr>
        <w:t xml:space="preserve">regional </w:t>
      </w:r>
      <w:r w:rsidR="0045668A">
        <w:rPr>
          <w:rFonts w:cs="Arial"/>
        </w:rPr>
        <w:t xml:space="preserve">transmission plan following </w:t>
      </w:r>
      <w:r w:rsidR="000C2314">
        <w:rPr>
          <w:rFonts w:cs="Arial"/>
        </w:rPr>
        <w:t xml:space="preserve">the modeling techniques defined in the </w:t>
      </w:r>
      <w:r w:rsidR="0045668A">
        <w:rPr>
          <w:rFonts w:cs="Arial"/>
        </w:rPr>
        <w:t>study plan</w:t>
      </w:r>
      <w:r w:rsidR="003807CC">
        <w:rPr>
          <w:rFonts w:cs="Arial"/>
        </w:rPr>
        <w:t>; and provide draft cost allocation data to the Cost Allocation Committee</w:t>
      </w:r>
      <w:r w:rsidR="0001091C">
        <w:rPr>
          <w:rFonts w:cs="Arial"/>
        </w:rPr>
        <w:t xml:space="preserve"> </w:t>
      </w:r>
      <w:r w:rsidR="00C432F0">
        <w:rPr>
          <w:rFonts w:cs="Arial"/>
        </w:rPr>
        <w:t xml:space="preserve">resulting </w:t>
      </w:r>
      <w:r w:rsidR="0001091C">
        <w:rPr>
          <w:rFonts w:cs="Arial"/>
        </w:rPr>
        <w:t>from the draft regional transmission plan</w:t>
      </w:r>
      <w:r w:rsidR="003807CC">
        <w:rPr>
          <w:rFonts w:cs="Arial"/>
        </w:rPr>
        <w:t>.</w:t>
      </w:r>
    </w:p>
    <w:p w:rsidR="005817BA" w:rsidRPr="005817BA" w:rsidRDefault="005817BA" w:rsidP="00690A1E">
      <w:pPr>
        <w:spacing w:after="0"/>
        <w:ind w:left="1440" w:hanging="1440"/>
        <w:rPr>
          <w:rFonts w:cs="Arial"/>
        </w:rPr>
      </w:pPr>
      <w:r w:rsidRPr="005817BA">
        <w:rPr>
          <w:rFonts w:cs="Arial"/>
        </w:rPr>
        <w:t>Q</w:t>
      </w:r>
      <w:r w:rsidR="00690A1E">
        <w:rPr>
          <w:rFonts w:cs="Arial"/>
        </w:rPr>
        <w:t xml:space="preserve">uarter </w:t>
      </w:r>
      <w:r w:rsidRPr="005817BA">
        <w:rPr>
          <w:rFonts w:cs="Arial"/>
        </w:rPr>
        <w:t xml:space="preserve">5:  </w:t>
      </w:r>
      <w:r w:rsidR="00BE3CFD">
        <w:rPr>
          <w:rFonts w:cs="Arial"/>
        </w:rPr>
        <w:tab/>
      </w:r>
      <w:r w:rsidRPr="005817BA">
        <w:rPr>
          <w:rFonts w:cs="Arial"/>
        </w:rPr>
        <w:t>Facilitate stakeholder revie</w:t>
      </w:r>
      <w:r w:rsidR="001F189E">
        <w:rPr>
          <w:rFonts w:cs="Arial"/>
        </w:rPr>
        <w:t xml:space="preserve">w and comment on the draft </w:t>
      </w:r>
      <w:r w:rsidR="003807CC">
        <w:rPr>
          <w:rFonts w:cs="Arial"/>
        </w:rPr>
        <w:t xml:space="preserve">regional </w:t>
      </w:r>
      <w:r w:rsidR="0045668A">
        <w:rPr>
          <w:rFonts w:cs="Arial"/>
        </w:rPr>
        <w:t xml:space="preserve">transmission </w:t>
      </w:r>
      <w:r w:rsidR="001F189E">
        <w:rPr>
          <w:rFonts w:cs="Arial"/>
        </w:rPr>
        <w:t>plan</w:t>
      </w:r>
      <w:r w:rsidR="003807CC">
        <w:rPr>
          <w:rFonts w:cs="Arial"/>
        </w:rPr>
        <w:t>; receive</w:t>
      </w:r>
      <w:r w:rsidR="00B900F3">
        <w:rPr>
          <w:rFonts w:cs="Arial"/>
        </w:rPr>
        <w:t xml:space="preserve"> updates to </w:t>
      </w:r>
      <w:r w:rsidR="003807CC">
        <w:rPr>
          <w:rFonts w:cs="Arial"/>
        </w:rPr>
        <w:t xml:space="preserve">the </w:t>
      </w:r>
      <w:r w:rsidR="00690A1E">
        <w:rPr>
          <w:rFonts w:cs="Arial"/>
        </w:rPr>
        <w:t xml:space="preserve">quarter </w:t>
      </w:r>
      <w:r w:rsidR="00C432F0">
        <w:rPr>
          <w:rFonts w:cs="Arial"/>
        </w:rPr>
        <w:t>1</w:t>
      </w:r>
      <w:r w:rsidR="003807CC">
        <w:rPr>
          <w:rFonts w:cs="Arial"/>
        </w:rPr>
        <w:t xml:space="preserve"> information</w:t>
      </w:r>
      <w:r w:rsidR="00B900F3">
        <w:rPr>
          <w:rFonts w:cs="Arial"/>
        </w:rPr>
        <w:t xml:space="preserve"> about new or changed circumstances or data</w:t>
      </w:r>
      <w:r w:rsidR="00FE126D">
        <w:rPr>
          <w:rFonts w:cs="Arial"/>
        </w:rPr>
        <w:t xml:space="preserve"> and prior eligible customer and stakeholder economic congestion study results; and receive new economic congestion study requests from eligible customers and stakeholders.</w:t>
      </w:r>
    </w:p>
    <w:p w:rsidR="005817BA" w:rsidRPr="005817BA" w:rsidRDefault="005817BA" w:rsidP="00690A1E">
      <w:pPr>
        <w:spacing w:after="0"/>
        <w:ind w:left="1440" w:hanging="1440"/>
        <w:rPr>
          <w:rFonts w:cs="Arial"/>
        </w:rPr>
      </w:pPr>
      <w:r w:rsidRPr="005817BA">
        <w:rPr>
          <w:rFonts w:cs="Arial"/>
        </w:rPr>
        <w:t>Q</w:t>
      </w:r>
      <w:r w:rsidR="00690A1E">
        <w:rPr>
          <w:rFonts w:cs="Arial"/>
        </w:rPr>
        <w:t xml:space="preserve">uarter </w:t>
      </w:r>
      <w:r w:rsidRPr="005817BA">
        <w:rPr>
          <w:rFonts w:cs="Arial"/>
        </w:rPr>
        <w:t xml:space="preserve">6: </w:t>
      </w:r>
      <w:r w:rsidR="00BE3CFD">
        <w:rPr>
          <w:rFonts w:cs="Arial"/>
        </w:rPr>
        <w:tab/>
      </w:r>
      <w:r w:rsidRPr="005817BA">
        <w:rPr>
          <w:rFonts w:cs="Arial"/>
        </w:rPr>
        <w:t xml:space="preserve">Finalize </w:t>
      </w:r>
      <w:r w:rsidR="005C65EE">
        <w:rPr>
          <w:rFonts w:cs="Arial"/>
        </w:rPr>
        <w:t xml:space="preserve">the </w:t>
      </w:r>
      <w:r w:rsidR="004A5058">
        <w:rPr>
          <w:rFonts w:cs="Arial"/>
        </w:rPr>
        <w:t>Regional T</w:t>
      </w:r>
      <w:r w:rsidR="005C65EE">
        <w:rPr>
          <w:rFonts w:cs="Arial"/>
        </w:rPr>
        <w:t>ransmission</w:t>
      </w:r>
      <w:r w:rsidR="005C65EE" w:rsidRPr="005817BA">
        <w:rPr>
          <w:rFonts w:cs="Arial"/>
        </w:rPr>
        <w:t xml:space="preserve"> </w:t>
      </w:r>
      <w:r w:rsidR="004A5058">
        <w:rPr>
          <w:rFonts w:cs="Arial"/>
        </w:rPr>
        <w:t>P</w:t>
      </w:r>
      <w:r w:rsidRPr="005817BA">
        <w:rPr>
          <w:rFonts w:cs="Arial"/>
        </w:rPr>
        <w:t>lan</w:t>
      </w:r>
      <w:r w:rsidR="00F64734">
        <w:rPr>
          <w:rFonts w:cs="Arial"/>
        </w:rPr>
        <w:t xml:space="preserve"> analysis</w:t>
      </w:r>
      <w:r w:rsidRPr="005817BA">
        <w:rPr>
          <w:rFonts w:cs="Arial"/>
        </w:rPr>
        <w:t xml:space="preserve"> with </w:t>
      </w:r>
      <w:r w:rsidR="00690A1E">
        <w:rPr>
          <w:rFonts w:cs="Arial"/>
        </w:rPr>
        <w:t xml:space="preserve">quarter </w:t>
      </w:r>
      <w:r w:rsidR="00C432F0">
        <w:rPr>
          <w:rFonts w:cs="Arial"/>
        </w:rPr>
        <w:t>5</w:t>
      </w:r>
      <w:r w:rsidRPr="005817BA">
        <w:rPr>
          <w:rFonts w:cs="Arial"/>
        </w:rPr>
        <w:t xml:space="preserve"> </w:t>
      </w:r>
      <w:r w:rsidR="00C432F0">
        <w:rPr>
          <w:rFonts w:cs="Arial"/>
        </w:rPr>
        <w:t>updates</w:t>
      </w:r>
      <w:r w:rsidR="008B1481">
        <w:rPr>
          <w:rFonts w:cs="Arial"/>
        </w:rPr>
        <w:t xml:space="preserve"> </w:t>
      </w:r>
      <w:r w:rsidRPr="005817BA">
        <w:rPr>
          <w:rFonts w:cs="Arial"/>
        </w:rPr>
        <w:t xml:space="preserve">and </w:t>
      </w:r>
      <w:r w:rsidR="00690A1E">
        <w:rPr>
          <w:rFonts w:cs="Arial"/>
        </w:rPr>
        <w:t>perform approved economic congestion studies</w:t>
      </w:r>
      <w:r w:rsidR="003807CC">
        <w:rPr>
          <w:rFonts w:cs="Arial"/>
        </w:rPr>
        <w:t xml:space="preserve">. </w:t>
      </w:r>
      <w:r w:rsidR="006C4731">
        <w:rPr>
          <w:rFonts w:cs="Arial"/>
        </w:rPr>
        <w:t>Develop draft Regional Transmission Plan report.</w:t>
      </w:r>
    </w:p>
    <w:p w:rsidR="005817BA" w:rsidRPr="005817BA" w:rsidRDefault="005817BA" w:rsidP="00690A1E">
      <w:pPr>
        <w:spacing w:after="0"/>
        <w:ind w:left="1440" w:hanging="1440"/>
        <w:rPr>
          <w:rFonts w:cs="Arial"/>
        </w:rPr>
      </w:pPr>
      <w:r w:rsidRPr="005817BA">
        <w:rPr>
          <w:rFonts w:cs="Arial"/>
        </w:rPr>
        <w:t>Q</w:t>
      </w:r>
      <w:r w:rsidR="00690A1E">
        <w:rPr>
          <w:rFonts w:cs="Arial"/>
        </w:rPr>
        <w:t xml:space="preserve">uarter </w:t>
      </w:r>
      <w:r w:rsidRPr="005817BA">
        <w:rPr>
          <w:rFonts w:cs="Arial"/>
        </w:rPr>
        <w:t xml:space="preserve">7: </w:t>
      </w:r>
      <w:r w:rsidR="00BE3CFD">
        <w:rPr>
          <w:rFonts w:cs="Arial"/>
        </w:rPr>
        <w:tab/>
      </w:r>
      <w:r w:rsidRPr="005817BA">
        <w:rPr>
          <w:rFonts w:cs="Arial"/>
        </w:rPr>
        <w:t>Facilitate stakeholder review and comment on the</w:t>
      </w:r>
      <w:r w:rsidR="00F64734">
        <w:rPr>
          <w:rFonts w:cs="Arial"/>
        </w:rPr>
        <w:t xml:space="preserve"> draft</w:t>
      </w:r>
      <w:r w:rsidRPr="005817BA">
        <w:rPr>
          <w:rFonts w:cs="Arial"/>
        </w:rPr>
        <w:t xml:space="preserve"> </w:t>
      </w:r>
      <w:r w:rsidR="004A5058">
        <w:rPr>
          <w:rFonts w:cs="Arial"/>
        </w:rPr>
        <w:t>R</w:t>
      </w:r>
      <w:r w:rsidR="000C2314">
        <w:rPr>
          <w:rFonts w:cs="Arial"/>
        </w:rPr>
        <w:t>egional</w:t>
      </w:r>
      <w:r w:rsidR="005C65EE">
        <w:rPr>
          <w:rFonts w:cs="Arial"/>
        </w:rPr>
        <w:t xml:space="preserve"> </w:t>
      </w:r>
      <w:r w:rsidR="004A5058">
        <w:rPr>
          <w:rFonts w:cs="Arial"/>
        </w:rPr>
        <w:t>T</w:t>
      </w:r>
      <w:r w:rsidR="005C65EE">
        <w:rPr>
          <w:rFonts w:cs="Arial"/>
        </w:rPr>
        <w:t xml:space="preserve">ransmission </w:t>
      </w:r>
      <w:r w:rsidR="004A5058">
        <w:rPr>
          <w:rFonts w:cs="Arial"/>
        </w:rPr>
        <w:t>P</w:t>
      </w:r>
      <w:r w:rsidRPr="005817BA">
        <w:rPr>
          <w:rFonts w:cs="Arial"/>
        </w:rPr>
        <w:t>lan</w:t>
      </w:r>
      <w:r w:rsidR="003807CC">
        <w:rPr>
          <w:rFonts w:cs="Arial"/>
        </w:rPr>
        <w:t xml:space="preserve"> report</w:t>
      </w:r>
      <w:r w:rsidR="00FE126D">
        <w:rPr>
          <w:rFonts w:cs="Arial"/>
        </w:rPr>
        <w:t xml:space="preserve"> and report economic congestion study results from requests received during </w:t>
      </w:r>
      <w:r w:rsidR="00690A1E">
        <w:rPr>
          <w:rFonts w:cs="Arial"/>
        </w:rPr>
        <w:t xml:space="preserve">quarter </w:t>
      </w:r>
      <w:r w:rsidR="00FE126D">
        <w:rPr>
          <w:rFonts w:cs="Arial"/>
        </w:rPr>
        <w:t>5.</w:t>
      </w:r>
    </w:p>
    <w:p w:rsidR="005817BA" w:rsidRPr="005817BA" w:rsidRDefault="005817BA" w:rsidP="00690A1E">
      <w:pPr>
        <w:ind w:left="1440" w:hanging="1440"/>
        <w:rPr>
          <w:rFonts w:cs="Arial"/>
        </w:rPr>
      </w:pPr>
      <w:r w:rsidRPr="005817BA">
        <w:rPr>
          <w:rFonts w:cs="Arial"/>
        </w:rPr>
        <w:t>Q</w:t>
      </w:r>
      <w:r w:rsidR="00690A1E">
        <w:rPr>
          <w:rFonts w:cs="Arial"/>
        </w:rPr>
        <w:t xml:space="preserve">uarter </w:t>
      </w:r>
      <w:r w:rsidRPr="005817BA">
        <w:rPr>
          <w:rFonts w:cs="Arial"/>
        </w:rPr>
        <w:t xml:space="preserve">8: </w:t>
      </w:r>
      <w:r w:rsidR="00BE3CFD">
        <w:rPr>
          <w:rFonts w:cs="Arial"/>
        </w:rPr>
        <w:tab/>
      </w:r>
      <w:r w:rsidR="003807CC">
        <w:rPr>
          <w:rFonts w:cs="Arial"/>
        </w:rPr>
        <w:t xml:space="preserve">Obtain </w:t>
      </w:r>
      <w:r w:rsidR="003807CC" w:rsidRPr="005817BA">
        <w:rPr>
          <w:rFonts w:cs="Arial"/>
        </w:rPr>
        <w:t xml:space="preserve">approval </w:t>
      </w:r>
      <w:r w:rsidR="003807CC">
        <w:rPr>
          <w:rFonts w:cs="Arial"/>
        </w:rPr>
        <w:t xml:space="preserve">from the </w:t>
      </w:r>
      <w:r w:rsidR="003807CC" w:rsidRPr="005817BA">
        <w:rPr>
          <w:rFonts w:cs="Arial"/>
        </w:rPr>
        <w:t xml:space="preserve">NTTG Steering Committee </w:t>
      </w:r>
      <w:r w:rsidR="003807CC">
        <w:rPr>
          <w:rFonts w:cs="Arial"/>
        </w:rPr>
        <w:t xml:space="preserve">of the </w:t>
      </w:r>
      <w:r w:rsidR="004A5058">
        <w:rPr>
          <w:rFonts w:cs="Arial"/>
        </w:rPr>
        <w:t>R</w:t>
      </w:r>
      <w:r w:rsidR="000C2314">
        <w:rPr>
          <w:rFonts w:cs="Arial"/>
        </w:rPr>
        <w:t xml:space="preserve">egional </w:t>
      </w:r>
      <w:r w:rsidR="004A5058">
        <w:rPr>
          <w:rFonts w:cs="Arial"/>
        </w:rPr>
        <w:t>T</w:t>
      </w:r>
      <w:r w:rsidR="005C65EE">
        <w:rPr>
          <w:rFonts w:cs="Arial"/>
        </w:rPr>
        <w:t xml:space="preserve">ransmission </w:t>
      </w:r>
      <w:r w:rsidR="004A5058">
        <w:rPr>
          <w:rFonts w:cs="Arial"/>
        </w:rPr>
        <w:t>P</w:t>
      </w:r>
      <w:r w:rsidRPr="005817BA">
        <w:rPr>
          <w:rFonts w:cs="Arial"/>
        </w:rPr>
        <w:t>lan</w:t>
      </w:r>
      <w:r w:rsidR="003807CC">
        <w:rPr>
          <w:rFonts w:cs="Arial"/>
        </w:rPr>
        <w:t>.</w:t>
      </w:r>
      <w:r w:rsidRPr="005817BA">
        <w:rPr>
          <w:rFonts w:cs="Arial"/>
        </w:rPr>
        <w:t xml:space="preserve"> </w:t>
      </w:r>
    </w:p>
    <w:p w:rsidR="005817BA" w:rsidRDefault="00850833" w:rsidP="00F9062A">
      <w:r>
        <w:t xml:space="preserve">NTTG planning practice is demonstrated through the </w:t>
      </w:r>
      <w:r w:rsidR="00B644B3">
        <w:t xml:space="preserve">activities embodied in the </w:t>
      </w:r>
      <w:r>
        <w:t xml:space="preserve">eight </w:t>
      </w:r>
      <w:r w:rsidR="005817BA">
        <w:t>quarter</w:t>
      </w:r>
      <w:r>
        <w:t xml:space="preserve"> planning process</w:t>
      </w:r>
      <w:r w:rsidR="005817BA">
        <w:t xml:space="preserve"> of the biennial planning cycle</w:t>
      </w:r>
      <w:r w:rsidR="006E1233">
        <w:t xml:space="preserve">. </w:t>
      </w:r>
      <w:r w:rsidR="0094034E">
        <w:t xml:space="preserve">Certain </w:t>
      </w:r>
      <w:r w:rsidR="00855C86">
        <w:t>elements of e</w:t>
      </w:r>
      <w:r>
        <w:t>ach quarter’s activities are further described below.</w:t>
      </w:r>
      <w:r w:rsidR="0086621F">
        <w:t xml:space="preserve"> See the “</w:t>
      </w:r>
      <w:r w:rsidR="00227808">
        <w:fldChar w:fldCharType="begin"/>
      </w:r>
      <w:r w:rsidR="0086621F">
        <w:instrText xml:space="preserve"> REF _Ref319672449 \h </w:instrText>
      </w:r>
      <w:r w:rsidR="00227808">
        <w:fldChar w:fldCharType="separate"/>
      </w:r>
      <w:r w:rsidR="00DD5414" w:rsidRPr="00C131E7">
        <w:t>Regional Transmission Plan Evaluation Process</w:t>
      </w:r>
      <w:r w:rsidR="00227808">
        <w:fldChar w:fldCharType="end"/>
      </w:r>
      <w:r w:rsidR="0086621F">
        <w:t>” section for additional detail.</w:t>
      </w:r>
    </w:p>
    <w:p w:rsidR="00EF4806" w:rsidRPr="00FF5C5A" w:rsidRDefault="00EF4806" w:rsidP="00C131E7">
      <w:pPr>
        <w:pStyle w:val="Heading1"/>
      </w:pPr>
      <w:bookmarkStart w:id="9" w:name="_Toc320179190"/>
      <w:r w:rsidRPr="00FF5C5A">
        <w:t>Information Gathering from Transmission Providers and Stakeholders</w:t>
      </w:r>
      <w:bookmarkEnd w:id="9"/>
    </w:p>
    <w:p w:rsidR="00B36FD5" w:rsidRDefault="004E30CF" w:rsidP="00913B57">
      <w:pPr>
        <w:spacing w:after="120"/>
        <w:rPr>
          <w:rFonts w:cs="Arial"/>
          <w:bCs/>
        </w:rPr>
      </w:pPr>
      <w:r w:rsidRPr="00EF4806">
        <w:rPr>
          <w:rFonts w:cs="Arial"/>
          <w:bCs/>
        </w:rPr>
        <w:t>NTTG use</w:t>
      </w:r>
      <w:r>
        <w:rPr>
          <w:rFonts w:cs="Arial"/>
          <w:bCs/>
        </w:rPr>
        <w:t>s</w:t>
      </w:r>
      <w:r w:rsidRPr="00EF4806">
        <w:rPr>
          <w:rFonts w:cs="Arial"/>
          <w:bCs/>
        </w:rPr>
        <w:t xml:space="preserve"> the bottom</w:t>
      </w:r>
      <w:r w:rsidR="00016705">
        <w:rPr>
          <w:rFonts w:cs="Arial"/>
          <w:bCs/>
        </w:rPr>
        <w:t xml:space="preserve"> </w:t>
      </w:r>
      <w:r w:rsidRPr="00EF4806">
        <w:rPr>
          <w:rFonts w:cs="Arial"/>
          <w:bCs/>
        </w:rPr>
        <w:t xml:space="preserve">up approach to receive </w:t>
      </w:r>
      <w:r w:rsidR="003863A7">
        <w:rPr>
          <w:rFonts w:cs="Arial"/>
          <w:bCs/>
        </w:rPr>
        <w:t xml:space="preserve">information from NTTG </w:t>
      </w:r>
      <w:r w:rsidRPr="00EF4806">
        <w:rPr>
          <w:rFonts w:cs="Arial"/>
          <w:bCs/>
        </w:rPr>
        <w:t xml:space="preserve">transmission </w:t>
      </w:r>
      <w:r w:rsidR="003863A7" w:rsidRPr="00EF4806">
        <w:rPr>
          <w:rFonts w:cs="Arial"/>
          <w:bCs/>
        </w:rPr>
        <w:t>provider</w:t>
      </w:r>
      <w:r w:rsidR="003863A7">
        <w:rPr>
          <w:rFonts w:cs="Arial"/>
          <w:bCs/>
        </w:rPr>
        <w:t xml:space="preserve">s’ local </w:t>
      </w:r>
      <w:r w:rsidRPr="00EF4806">
        <w:rPr>
          <w:rFonts w:cs="Arial"/>
          <w:bCs/>
        </w:rPr>
        <w:t>transmission plan</w:t>
      </w:r>
      <w:r w:rsidR="003863A7">
        <w:rPr>
          <w:rFonts w:cs="Arial"/>
          <w:bCs/>
        </w:rPr>
        <w:t>s</w:t>
      </w:r>
      <w:r w:rsidR="004F6060" w:rsidRPr="004F6060">
        <w:rPr>
          <w:rFonts w:cs="Arial"/>
          <w:bCs/>
        </w:rPr>
        <w:t xml:space="preserve"> </w:t>
      </w:r>
      <w:r w:rsidR="004F6060" w:rsidRPr="00EF4806">
        <w:rPr>
          <w:rFonts w:cs="Arial"/>
          <w:bCs/>
        </w:rPr>
        <w:t xml:space="preserve">during </w:t>
      </w:r>
      <w:r w:rsidR="004F6060">
        <w:rPr>
          <w:rFonts w:cs="Arial"/>
          <w:bCs/>
        </w:rPr>
        <w:t xml:space="preserve">quarter </w:t>
      </w:r>
      <w:r w:rsidR="00DB3AEC">
        <w:rPr>
          <w:rFonts w:cs="Arial"/>
          <w:bCs/>
        </w:rPr>
        <w:t>one</w:t>
      </w:r>
      <w:r w:rsidR="003863A7">
        <w:rPr>
          <w:rFonts w:cs="Arial"/>
          <w:bCs/>
        </w:rPr>
        <w:t>. This information includes load and resource</w:t>
      </w:r>
      <w:r w:rsidRPr="00EF4806">
        <w:rPr>
          <w:rFonts w:cs="Arial"/>
          <w:bCs/>
        </w:rPr>
        <w:t xml:space="preserve"> </w:t>
      </w:r>
      <w:r>
        <w:rPr>
          <w:rFonts w:cs="Arial"/>
          <w:bCs/>
        </w:rPr>
        <w:t xml:space="preserve">information </w:t>
      </w:r>
      <w:r w:rsidRPr="00EF4806">
        <w:rPr>
          <w:rFonts w:cs="Arial"/>
          <w:bCs/>
        </w:rPr>
        <w:t>that incorporates the transmission service forecast</w:t>
      </w:r>
      <w:r w:rsidR="003863A7">
        <w:rPr>
          <w:rFonts w:cs="Arial"/>
          <w:bCs/>
        </w:rPr>
        <w:t xml:space="preserve"> and public policy </w:t>
      </w:r>
      <w:r w:rsidR="000E6AD0">
        <w:rPr>
          <w:rFonts w:cs="Arial"/>
          <w:bCs/>
        </w:rPr>
        <w:t xml:space="preserve">needs and associated transmission </w:t>
      </w:r>
      <w:r w:rsidR="00937D61">
        <w:rPr>
          <w:rFonts w:cs="Arial"/>
          <w:bCs/>
        </w:rPr>
        <w:t xml:space="preserve">data </w:t>
      </w:r>
      <w:r w:rsidRPr="00EF4806">
        <w:rPr>
          <w:rFonts w:cs="Arial"/>
          <w:bCs/>
        </w:rPr>
        <w:t>for its transmission system</w:t>
      </w:r>
      <w:r w:rsidR="006E1233">
        <w:rPr>
          <w:rFonts w:cs="Arial"/>
          <w:bCs/>
        </w:rPr>
        <w:t xml:space="preserve">. </w:t>
      </w:r>
      <w:r w:rsidR="00F71D7E">
        <w:t>Also, o</w:t>
      </w:r>
      <w:r w:rsidR="0018376C">
        <w:t xml:space="preserve">ther </w:t>
      </w:r>
      <w:r w:rsidR="003863A7">
        <w:t xml:space="preserve">regional transmission </w:t>
      </w:r>
      <w:r w:rsidR="00F71D7E">
        <w:t xml:space="preserve">and non-transmission </w:t>
      </w:r>
      <w:r w:rsidR="0018376C">
        <w:t>p</w:t>
      </w:r>
      <w:r w:rsidR="0018376C" w:rsidRPr="000110E6">
        <w:t>rojects</w:t>
      </w:r>
      <w:r w:rsidR="004F6060" w:rsidRPr="004F6060">
        <w:t xml:space="preserve"> </w:t>
      </w:r>
      <w:r w:rsidR="004F6060">
        <w:t xml:space="preserve">for consideration </w:t>
      </w:r>
      <w:r w:rsidR="004F6060" w:rsidRPr="000110E6">
        <w:t>in</w:t>
      </w:r>
      <w:r w:rsidR="004F6060">
        <w:t xml:space="preserve"> </w:t>
      </w:r>
      <w:r w:rsidR="004F6060" w:rsidRPr="000110E6">
        <w:t>t</w:t>
      </w:r>
      <w:r w:rsidR="004F6060">
        <w:t xml:space="preserve">he biennial plan, including public policy </w:t>
      </w:r>
      <w:r w:rsidR="000E6AD0">
        <w:t>needs</w:t>
      </w:r>
      <w:r w:rsidR="004F6060">
        <w:t xml:space="preserve">, </w:t>
      </w:r>
      <w:r w:rsidR="00F71D7E">
        <w:t xml:space="preserve">will also be received from </w:t>
      </w:r>
      <w:r w:rsidR="003863A7">
        <w:t>merchant developers a</w:t>
      </w:r>
      <w:r w:rsidR="00DB3AEC">
        <w:t>nd stakeholders during quarter one</w:t>
      </w:r>
      <w:r w:rsidR="003863A7">
        <w:t xml:space="preserve"> with updates in quarter </w:t>
      </w:r>
      <w:r w:rsidR="00DB3AEC">
        <w:t>five</w:t>
      </w:r>
      <w:r w:rsidR="004F6060">
        <w:t>.</w:t>
      </w:r>
      <w:r w:rsidR="003863A7">
        <w:t xml:space="preserve"> </w:t>
      </w:r>
      <w:r w:rsidR="0018376C" w:rsidRPr="000110E6">
        <w:t>Projects may be submitted into the planning process to meet reliability or load service requirements, address economic considerations, and/or to meet transmission needs driven by public policy</w:t>
      </w:r>
      <w:r w:rsidR="000E6AD0">
        <w:t xml:space="preserve"> needs</w:t>
      </w:r>
      <w:r w:rsidR="0018376C" w:rsidRPr="000110E6">
        <w:t>.</w:t>
      </w:r>
      <w:r w:rsidR="003863A7" w:rsidRPr="003863A7">
        <w:t xml:space="preserve"> </w:t>
      </w:r>
      <w:r w:rsidR="003863A7">
        <w:t>T</w:t>
      </w:r>
      <w:r w:rsidR="003863A7" w:rsidRPr="000110E6">
        <w:t xml:space="preserve">he types of projects </w:t>
      </w:r>
      <w:r w:rsidR="003863A7">
        <w:t xml:space="preserve">are </w:t>
      </w:r>
      <w:r w:rsidR="003863A7" w:rsidRPr="000110E6">
        <w:t>listed below.</w:t>
      </w:r>
    </w:p>
    <w:p w:rsidR="00B36FD5" w:rsidRPr="000110E6" w:rsidRDefault="00B36FD5" w:rsidP="00774FA5">
      <w:pPr>
        <w:pStyle w:val="Default"/>
        <w:numPr>
          <w:ilvl w:val="0"/>
          <w:numId w:val="22"/>
        </w:numPr>
        <w:rPr>
          <w:rFonts w:ascii="Calibri" w:hAnsi="Calibri"/>
          <w:sz w:val="22"/>
          <w:szCs w:val="22"/>
        </w:rPr>
      </w:pPr>
      <w:r w:rsidRPr="000110E6">
        <w:rPr>
          <w:rFonts w:ascii="Calibri" w:hAnsi="Calibri"/>
          <w:sz w:val="22"/>
          <w:szCs w:val="22"/>
        </w:rPr>
        <w:t xml:space="preserve">projects with potential regional impact rolled up from one or more local </w:t>
      </w:r>
      <w:r w:rsidR="00847086">
        <w:rPr>
          <w:rFonts w:ascii="Calibri" w:hAnsi="Calibri"/>
          <w:sz w:val="22"/>
          <w:szCs w:val="22"/>
        </w:rPr>
        <w:t>transmission providers</w:t>
      </w:r>
      <w:r w:rsidR="00F71D7E">
        <w:rPr>
          <w:rFonts w:ascii="Calibri" w:hAnsi="Calibri"/>
          <w:sz w:val="22"/>
          <w:szCs w:val="22"/>
        </w:rPr>
        <w:t>’</w:t>
      </w:r>
      <w:r w:rsidR="00847086">
        <w:rPr>
          <w:rFonts w:ascii="Calibri" w:hAnsi="Calibri"/>
          <w:sz w:val="22"/>
          <w:szCs w:val="22"/>
        </w:rPr>
        <w:t xml:space="preserve"> transmission </w:t>
      </w:r>
      <w:r w:rsidRPr="000110E6">
        <w:rPr>
          <w:rFonts w:ascii="Calibri" w:hAnsi="Calibri"/>
          <w:sz w:val="22"/>
          <w:szCs w:val="22"/>
        </w:rPr>
        <w:t>plan</w:t>
      </w:r>
      <w:r w:rsidR="00F71D7E">
        <w:rPr>
          <w:rFonts w:ascii="Calibri" w:hAnsi="Calibri"/>
          <w:sz w:val="22"/>
          <w:szCs w:val="22"/>
        </w:rPr>
        <w:t>(s)</w:t>
      </w:r>
      <w:r w:rsidRPr="000110E6">
        <w:rPr>
          <w:rFonts w:ascii="Calibri" w:hAnsi="Calibri"/>
          <w:sz w:val="22"/>
          <w:szCs w:val="22"/>
        </w:rPr>
        <w:t xml:space="preserve"> </w:t>
      </w:r>
    </w:p>
    <w:p w:rsidR="00B36FD5" w:rsidRPr="000110E6" w:rsidRDefault="00B36FD5" w:rsidP="00774FA5">
      <w:pPr>
        <w:pStyle w:val="Default"/>
        <w:numPr>
          <w:ilvl w:val="0"/>
          <w:numId w:val="22"/>
        </w:numPr>
        <w:rPr>
          <w:rFonts w:ascii="Calibri" w:hAnsi="Calibri"/>
          <w:sz w:val="22"/>
          <w:szCs w:val="22"/>
        </w:rPr>
      </w:pPr>
      <w:r w:rsidRPr="000110E6">
        <w:rPr>
          <w:rFonts w:ascii="Calibri" w:hAnsi="Calibri"/>
          <w:sz w:val="22"/>
          <w:szCs w:val="22"/>
        </w:rPr>
        <w:t xml:space="preserve">merchant developer projects </w:t>
      </w:r>
    </w:p>
    <w:p w:rsidR="00B36FD5" w:rsidRPr="000110E6" w:rsidRDefault="00B36FD5" w:rsidP="00774FA5">
      <w:pPr>
        <w:pStyle w:val="Default"/>
        <w:numPr>
          <w:ilvl w:val="0"/>
          <w:numId w:val="22"/>
        </w:numPr>
        <w:rPr>
          <w:rFonts w:ascii="Calibri" w:hAnsi="Calibri"/>
          <w:sz w:val="22"/>
          <w:szCs w:val="22"/>
        </w:rPr>
      </w:pPr>
      <w:r w:rsidRPr="000110E6">
        <w:rPr>
          <w:rFonts w:ascii="Calibri" w:hAnsi="Calibri"/>
          <w:sz w:val="22"/>
          <w:szCs w:val="22"/>
        </w:rPr>
        <w:t xml:space="preserve">new </w:t>
      </w:r>
      <w:r w:rsidR="00F71D7E">
        <w:rPr>
          <w:rFonts w:ascii="Calibri" w:hAnsi="Calibri"/>
          <w:sz w:val="22"/>
          <w:szCs w:val="22"/>
        </w:rPr>
        <w:t xml:space="preserve">“unsponsored” regional </w:t>
      </w:r>
      <w:r w:rsidRPr="000110E6">
        <w:rPr>
          <w:rFonts w:ascii="Calibri" w:hAnsi="Calibri"/>
          <w:sz w:val="22"/>
          <w:szCs w:val="22"/>
        </w:rPr>
        <w:t xml:space="preserve">project identified through the </w:t>
      </w:r>
      <w:r w:rsidR="00F71D7E">
        <w:rPr>
          <w:rFonts w:ascii="Calibri" w:hAnsi="Calibri"/>
          <w:sz w:val="22"/>
          <w:szCs w:val="22"/>
        </w:rPr>
        <w:t xml:space="preserve">regional </w:t>
      </w:r>
      <w:r w:rsidRPr="000110E6">
        <w:rPr>
          <w:rFonts w:ascii="Calibri" w:hAnsi="Calibri"/>
          <w:sz w:val="22"/>
          <w:szCs w:val="22"/>
        </w:rPr>
        <w:t xml:space="preserve">planning process </w:t>
      </w:r>
    </w:p>
    <w:p w:rsidR="00B36FD5" w:rsidRPr="000110E6" w:rsidRDefault="00913B57" w:rsidP="00774FA5">
      <w:pPr>
        <w:pStyle w:val="Default"/>
        <w:numPr>
          <w:ilvl w:val="0"/>
          <w:numId w:val="22"/>
        </w:numPr>
        <w:rPr>
          <w:rFonts w:ascii="Calibri" w:hAnsi="Calibri"/>
          <w:sz w:val="22"/>
          <w:szCs w:val="22"/>
        </w:rPr>
      </w:pPr>
      <w:r>
        <w:rPr>
          <w:rFonts w:ascii="Calibri" w:hAnsi="Calibri"/>
          <w:sz w:val="22"/>
          <w:szCs w:val="22"/>
        </w:rPr>
        <w:t xml:space="preserve">interregional projects </w:t>
      </w:r>
    </w:p>
    <w:p w:rsidR="00B36FD5" w:rsidRDefault="00B36FD5" w:rsidP="00774FA5">
      <w:pPr>
        <w:pStyle w:val="Default"/>
        <w:numPr>
          <w:ilvl w:val="0"/>
          <w:numId w:val="22"/>
        </w:numPr>
        <w:rPr>
          <w:rFonts w:ascii="Calibri" w:hAnsi="Calibri"/>
          <w:sz w:val="22"/>
          <w:szCs w:val="22"/>
        </w:rPr>
      </w:pPr>
      <w:r w:rsidRPr="000110E6">
        <w:rPr>
          <w:rFonts w:ascii="Calibri" w:hAnsi="Calibri"/>
          <w:sz w:val="22"/>
          <w:szCs w:val="22"/>
        </w:rPr>
        <w:t>non-transmission alternative</w:t>
      </w:r>
      <w:r w:rsidR="00937D61">
        <w:rPr>
          <w:rFonts w:ascii="Calibri" w:hAnsi="Calibri"/>
          <w:sz w:val="22"/>
          <w:szCs w:val="22"/>
        </w:rPr>
        <w:t xml:space="preserve"> project</w:t>
      </w:r>
      <w:r w:rsidRPr="000110E6">
        <w:rPr>
          <w:rFonts w:ascii="Calibri" w:hAnsi="Calibri"/>
          <w:sz w:val="22"/>
          <w:szCs w:val="22"/>
        </w:rPr>
        <w:t xml:space="preserve">s </w:t>
      </w:r>
    </w:p>
    <w:p w:rsidR="00913B57" w:rsidRPr="000110E6" w:rsidRDefault="00913B57" w:rsidP="00913B57">
      <w:pPr>
        <w:pStyle w:val="Default"/>
        <w:numPr>
          <w:ilvl w:val="0"/>
          <w:numId w:val="22"/>
        </w:numPr>
        <w:spacing w:after="120"/>
        <w:rPr>
          <w:rFonts w:ascii="Calibri" w:hAnsi="Calibri"/>
          <w:sz w:val="22"/>
          <w:szCs w:val="22"/>
        </w:rPr>
      </w:pPr>
      <w:r>
        <w:rPr>
          <w:rFonts w:ascii="Calibri" w:hAnsi="Calibri"/>
          <w:sz w:val="22"/>
          <w:szCs w:val="22"/>
        </w:rPr>
        <w:t xml:space="preserve">transmission projects to satisfy </w:t>
      </w:r>
      <w:r w:rsidR="00937D61">
        <w:rPr>
          <w:rFonts w:ascii="Calibri" w:hAnsi="Calibri"/>
          <w:sz w:val="22"/>
          <w:szCs w:val="22"/>
        </w:rPr>
        <w:t xml:space="preserve">existing or future </w:t>
      </w:r>
      <w:r>
        <w:rPr>
          <w:rFonts w:ascii="Calibri" w:hAnsi="Calibri"/>
          <w:sz w:val="22"/>
          <w:szCs w:val="22"/>
        </w:rPr>
        <w:t>public policy</w:t>
      </w:r>
      <w:r w:rsidR="00CA252E">
        <w:rPr>
          <w:rFonts w:ascii="Calibri" w:hAnsi="Calibri"/>
          <w:sz w:val="22"/>
          <w:szCs w:val="22"/>
        </w:rPr>
        <w:t xml:space="preserve"> </w:t>
      </w:r>
      <w:r w:rsidR="00911760">
        <w:rPr>
          <w:rFonts w:ascii="Calibri" w:hAnsi="Calibri"/>
          <w:sz w:val="22"/>
          <w:szCs w:val="22"/>
        </w:rPr>
        <w:t xml:space="preserve">needs </w:t>
      </w:r>
      <w:r w:rsidR="00937D61">
        <w:rPr>
          <w:rFonts w:ascii="Calibri" w:hAnsi="Calibri"/>
          <w:sz w:val="22"/>
          <w:szCs w:val="22"/>
        </w:rPr>
        <w:t xml:space="preserve">required by </w:t>
      </w:r>
      <w:r w:rsidR="00CA252E">
        <w:rPr>
          <w:rFonts w:ascii="Calibri" w:hAnsi="Calibri"/>
          <w:sz w:val="22"/>
          <w:szCs w:val="22"/>
        </w:rPr>
        <w:t xml:space="preserve">state or federal law or </w:t>
      </w:r>
      <w:r>
        <w:rPr>
          <w:rFonts w:ascii="Calibri" w:hAnsi="Calibri"/>
          <w:sz w:val="22"/>
          <w:szCs w:val="22"/>
        </w:rPr>
        <w:t>requirements</w:t>
      </w:r>
    </w:p>
    <w:p w:rsidR="004C0960" w:rsidRDefault="00F71D7E" w:rsidP="00B50290">
      <w:pPr>
        <w:spacing w:after="120"/>
      </w:pPr>
      <w:r>
        <w:lastRenderedPageBreak/>
        <w:t xml:space="preserve">As </w:t>
      </w:r>
      <w:r w:rsidR="00A954A1">
        <w:t xml:space="preserve">noted by (c), one </w:t>
      </w:r>
      <w:r>
        <w:t>result of the regional planning process</w:t>
      </w:r>
      <w:r w:rsidR="00A954A1">
        <w:t xml:space="preserve"> may be</w:t>
      </w:r>
      <w:r>
        <w:t xml:space="preserve"> </w:t>
      </w:r>
      <w:r w:rsidR="00A954A1">
        <w:t xml:space="preserve">identification of </w:t>
      </w:r>
      <w:r>
        <w:t xml:space="preserve">an unsponsored transmission project. </w:t>
      </w:r>
      <w:r w:rsidR="00B36FD5" w:rsidRPr="000110E6">
        <w:t>With the exception of project types (c) and (e) above, all of the projects listed above may be submitted by an entity request</w:t>
      </w:r>
      <w:r w:rsidR="00873211">
        <w:t>ing</w:t>
      </w:r>
      <w:r w:rsidR="00B36FD5" w:rsidRPr="000110E6">
        <w:t xml:space="preserve"> that the project be evaluated for cost allocation (such request must be submitted upon the initial project submission date </w:t>
      </w:r>
      <w:r w:rsidR="007136D5">
        <w:t xml:space="preserve">during </w:t>
      </w:r>
      <w:r w:rsidR="00DB3AEC">
        <w:t>quarter one</w:t>
      </w:r>
      <w:r w:rsidR="00B36FD5" w:rsidRPr="000110E6">
        <w:t>).</w:t>
      </w:r>
      <w:r w:rsidR="00913B57" w:rsidRPr="00913B57">
        <w:t xml:space="preserve"> </w:t>
      </w:r>
      <w:r w:rsidR="0085688C">
        <w:t>S</w:t>
      </w:r>
      <w:r w:rsidR="0085688C" w:rsidRPr="000110E6">
        <w:t xml:space="preserve">ee </w:t>
      </w:r>
      <w:r w:rsidR="0085688C">
        <w:t>the “</w:t>
      </w:r>
      <w:r w:rsidR="00227808">
        <w:fldChar w:fldCharType="begin"/>
      </w:r>
      <w:r w:rsidR="0085688C">
        <w:instrText xml:space="preserve"> REF _Ref319658271 \h </w:instrText>
      </w:r>
      <w:r w:rsidR="00227808">
        <w:fldChar w:fldCharType="separate"/>
      </w:r>
      <w:r w:rsidR="00DD5414">
        <w:t>Sponsor Qualification Data – Submitted Prior to Biennial Cycle Begins</w:t>
      </w:r>
      <w:r w:rsidR="00227808">
        <w:fldChar w:fldCharType="end"/>
      </w:r>
      <w:r w:rsidR="0085688C">
        <w:t>” section below for additional information regarding the required data to be submitted.</w:t>
      </w:r>
      <w:r w:rsidR="006D0C01">
        <w:t xml:space="preserve"> </w:t>
      </w:r>
      <w:r w:rsidR="00227808">
        <w:fldChar w:fldCharType="begin"/>
      </w:r>
      <w:r w:rsidR="001850E8">
        <w:instrText xml:space="preserve"> REF _Ref318555070 \h </w:instrText>
      </w:r>
      <w:r w:rsidR="00227808">
        <w:fldChar w:fldCharType="separate"/>
      </w:r>
      <w:r w:rsidR="00DD5414">
        <w:t xml:space="preserve">Figure </w:t>
      </w:r>
      <w:r w:rsidR="00DD5414">
        <w:rPr>
          <w:noProof/>
        </w:rPr>
        <w:t>3</w:t>
      </w:r>
      <w:r w:rsidR="00227808">
        <w:fldChar w:fldCharType="end"/>
      </w:r>
      <w:r w:rsidR="00B50290">
        <w:t xml:space="preserve"> </w:t>
      </w:r>
      <w:r w:rsidR="00371275">
        <w:t xml:space="preserve">below </w:t>
      </w:r>
      <w:r w:rsidR="00B50290">
        <w:t xml:space="preserve">provides a diagram of the data submittal process for all projects submitted to NTTG for consideration in the regional plan. </w:t>
      </w:r>
      <w:r w:rsidR="00E97C75">
        <w:t xml:space="preserve"> </w:t>
      </w:r>
    </w:p>
    <w:p w:rsidR="00B50290" w:rsidRDefault="007A48D7" w:rsidP="00B50290">
      <w:pPr>
        <w:spacing w:after="120"/>
        <w:jc w:val="center"/>
      </w:pPr>
      <w:r>
        <w:pict>
          <v:shape id="_x0000_i1026" type="#_x0000_t75" style="width:334.85pt;height:6in" o:bordertopcolor="this" o:borderleftcolor="this" o:borderbottomcolor="this" o:borderrightcolor="this">
            <v:imagedata r:id="rId10" o:title=""/>
          </v:shape>
        </w:pict>
      </w:r>
    </w:p>
    <w:p w:rsidR="004C0960" w:rsidRDefault="004C0960" w:rsidP="00B50290">
      <w:pPr>
        <w:pStyle w:val="Caption"/>
        <w:ind w:firstLine="720"/>
      </w:pPr>
      <w:bookmarkStart w:id="10" w:name="_Ref317654714"/>
      <w:r>
        <w:t xml:space="preserve"> </w:t>
      </w:r>
      <w:bookmarkStart w:id="11" w:name="_Ref318555070"/>
      <w:r>
        <w:t xml:space="preserve">Figure </w:t>
      </w:r>
      <w:fldSimple w:instr=" SEQ Figure \* ARABIC ">
        <w:r w:rsidR="00DD5414">
          <w:rPr>
            <w:noProof/>
          </w:rPr>
          <w:t>3</w:t>
        </w:r>
      </w:fldSimple>
      <w:bookmarkEnd w:id="10"/>
      <w:bookmarkEnd w:id="11"/>
    </w:p>
    <w:p w:rsidR="00D8046D" w:rsidRPr="00A10BE9" w:rsidRDefault="00D8046D" w:rsidP="00FF5C5A">
      <w:pPr>
        <w:pStyle w:val="Heading2"/>
      </w:pPr>
      <w:bookmarkStart w:id="12" w:name="_Toc320179191"/>
      <w:r w:rsidRPr="00A10BE9">
        <w:lastRenderedPageBreak/>
        <w:t xml:space="preserve">Project Information </w:t>
      </w:r>
      <w:r w:rsidR="007136D5">
        <w:t>Required from all Projects</w:t>
      </w:r>
      <w:r w:rsidR="00015B61">
        <w:t xml:space="preserve"> – Submitted </w:t>
      </w:r>
      <w:proofErr w:type="gramStart"/>
      <w:r w:rsidR="00015B61">
        <w:t>During</w:t>
      </w:r>
      <w:proofErr w:type="gramEnd"/>
      <w:r w:rsidR="00015B61">
        <w:t xml:space="preserve"> Quarter One</w:t>
      </w:r>
      <w:bookmarkEnd w:id="12"/>
    </w:p>
    <w:p w:rsidR="00855C86" w:rsidRDefault="001850E8" w:rsidP="00CF2BAA">
      <w:pPr>
        <w:spacing w:after="120"/>
      </w:pPr>
      <w:r>
        <w:rPr>
          <w:rFonts w:cs="Arial"/>
        </w:rPr>
        <w:t xml:space="preserve">As shown in </w:t>
      </w:r>
      <w:r w:rsidR="00227808">
        <w:rPr>
          <w:rFonts w:cs="Arial"/>
        </w:rPr>
        <w:fldChar w:fldCharType="begin"/>
      </w:r>
      <w:r>
        <w:rPr>
          <w:rFonts w:cs="Arial"/>
        </w:rPr>
        <w:instrText xml:space="preserve"> REF _Ref318555070 \h </w:instrText>
      </w:r>
      <w:r w:rsidR="00227808">
        <w:rPr>
          <w:rFonts w:cs="Arial"/>
        </w:rPr>
      </w:r>
      <w:r w:rsidR="00227808">
        <w:rPr>
          <w:rFonts w:cs="Arial"/>
        </w:rPr>
        <w:fldChar w:fldCharType="separate"/>
      </w:r>
      <w:r w:rsidR="00DD5414">
        <w:t xml:space="preserve">Figure </w:t>
      </w:r>
      <w:r w:rsidR="00DD5414">
        <w:rPr>
          <w:noProof/>
        </w:rPr>
        <w:t>3</w:t>
      </w:r>
      <w:r w:rsidR="00227808">
        <w:rPr>
          <w:rFonts w:cs="Arial"/>
        </w:rPr>
        <w:fldChar w:fldCharType="end"/>
      </w:r>
      <w:r>
        <w:rPr>
          <w:rFonts w:cs="Arial"/>
        </w:rPr>
        <w:t>, there is a requirement</w:t>
      </w:r>
      <w:r w:rsidR="00A76CA3">
        <w:rPr>
          <w:rFonts w:cs="Arial"/>
        </w:rPr>
        <w:t xml:space="preserve"> during quarter </w:t>
      </w:r>
      <w:r w:rsidR="001C1176">
        <w:rPr>
          <w:rFonts w:cs="Arial"/>
        </w:rPr>
        <w:t>one</w:t>
      </w:r>
      <w:r w:rsidR="00A76CA3">
        <w:rPr>
          <w:rFonts w:cs="Arial"/>
        </w:rPr>
        <w:t xml:space="preserve"> of the biennial planning cycle</w:t>
      </w:r>
      <w:r>
        <w:rPr>
          <w:rFonts w:cs="Arial"/>
        </w:rPr>
        <w:t xml:space="preserve"> that all project sponsors submit </w:t>
      </w:r>
      <w:r w:rsidR="00A76CA3">
        <w:rPr>
          <w:rFonts w:cs="Arial"/>
        </w:rPr>
        <w:t>“</w:t>
      </w:r>
      <w:r>
        <w:rPr>
          <w:rFonts w:cs="Arial"/>
        </w:rPr>
        <w:t>project information</w:t>
      </w:r>
      <w:r w:rsidR="00A76CA3">
        <w:rPr>
          <w:rFonts w:cs="Arial"/>
        </w:rPr>
        <w:t>”</w:t>
      </w:r>
      <w:r>
        <w:rPr>
          <w:rFonts w:cs="Arial"/>
        </w:rPr>
        <w:t xml:space="preserve"> for their project regardless of the sponsors desire to be considered in the regional plan for regional cost allocation. </w:t>
      </w:r>
      <w:r w:rsidR="00801DF0">
        <w:rPr>
          <w:rFonts w:cs="Arial"/>
        </w:rPr>
        <w:t>Th</w:t>
      </w:r>
      <w:r>
        <w:rPr>
          <w:rFonts w:cs="Arial"/>
        </w:rPr>
        <w:t xml:space="preserve">is </w:t>
      </w:r>
      <w:r w:rsidR="00801DF0">
        <w:rPr>
          <w:rFonts w:cs="Arial"/>
        </w:rPr>
        <w:t>project information</w:t>
      </w:r>
      <w:r w:rsidR="00B85A52">
        <w:rPr>
          <w:rFonts w:cs="Arial"/>
        </w:rPr>
        <w:t xml:space="preserve"> </w:t>
      </w:r>
      <w:r w:rsidR="0000710E">
        <w:rPr>
          <w:rFonts w:cs="Arial"/>
        </w:rPr>
        <w:t xml:space="preserve">must be </w:t>
      </w:r>
      <w:r w:rsidR="00801DF0">
        <w:rPr>
          <w:rFonts w:cs="Arial"/>
        </w:rPr>
        <w:t>provided by all project sponsors whether or not the</w:t>
      </w:r>
      <w:r w:rsidR="00A76CA3">
        <w:rPr>
          <w:rFonts w:cs="Arial"/>
        </w:rPr>
        <w:t>ir</w:t>
      </w:r>
      <w:r w:rsidR="00801DF0">
        <w:rPr>
          <w:rFonts w:cs="Arial"/>
        </w:rPr>
        <w:t xml:space="preserve"> project is </w:t>
      </w:r>
      <w:r w:rsidR="00801DF0">
        <w:t xml:space="preserve">a project </w:t>
      </w:r>
      <w:r w:rsidR="0000710E">
        <w:t xml:space="preserve">proposed </w:t>
      </w:r>
      <w:r w:rsidR="00801DF0">
        <w:t>for selection in the regional plan for purposes of cost allocation</w:t>
      </w:r>
      <w:r w:rsidR="006E1233">
        <w:t xml:space="preserve">. </w:t>
      </w:r>
      <w:r w:rsidR="00801DF0">
        <w:t xml:space="preserve">The project information provides basic information for modeling the project in NTTG’s power system planning models. </w:t>
      </w:r>
      <w:r w:rsidR="00801DF0" w:rsidRPr="00911760">
        <w:t>A</w:t>
      </w:r>
      <w:r w:rsidR="00195D4A" w:rsidRPr="00911760">
        <w:t xml:space="preserve">ll stakeholders </w:t>
      </w:r>
      <w:r w:rsidR="00801DF0" w:rsidRPr="00911760">
        <w:t xml:space="preserve">must </w:t>
      </w:r>
      <w:r w:rsidR="000730BF" w:rsidRPr="00911760">
        <w:t xml:space="preserve">submit </w:t>
      </w:r>
      <w:r w:rsidR="00195D4A" w:rsidRPr="00911760">
        <w:t xml:space="preserve">their </w:t>
      </w:r>
      <w:r w:rsidR="000730BF" w:rsidRPr="00911760">
        <w:t xml:space="preserve">data to </w:t>
      </w:r>
      <w:r w:rsidR="00331E4E" w:rsidRPr="00911760">
        <w:t xml:space="preserve">the local transmission provider or to </w:t>
      </w:r>
      <w:r w:rsidR="000730BF" w:rsidRPr="00911760">
        <w:t xml:space="preserve">NTTG </w:t>
      </w:r>
      <w:r w:rsidR="00331E4E" w:rsidRPr="00911760">
        <w:t xml:space="preserve">copying the local transmission provider </w:t>
      </w:r>
      <w:r w:rsidR="001C1176">
        <w:t xml:space="preserve">using the data request form </w:t>
      </w:r>
      <w:r w:rsidR="000730BF" w:rsidRPr="00911760">
        <w:t xml:space="preserve">during the quarter </w:t>
      </w:r>
      <w:r w:rsidR="00DB3AEC" w:rsidRPr="00911760">
        <w:t>one</w:t>
      </w:r>
      <w:r w:rsidR="000730BF" w:rsidRPr="00911760">
        <w:t xml:space="preserve"> data request window</w:t>
      </w:r>
      <w:r w:rsidR="006E1233" w:rsidRPr="00911760">
        <w:t>.</w:t>
      </w:r>
      <w:r w:rsidR="006E1233">
        <w:t xml:space="preserve"> </w:t>
      </w:r>
      <w:r w:rsidR="00195D4A">
        <w:t xml:space="preserve">Updates to quarter </w:t>
      </w:r>
      <w:r w:rsidR="00DB3AEC">
        <w:t>one</w:t>
      </w:r>
      <w:r w:rsidR="00195D4A">
        <w:t xml:space="preserve"> data are allowed during quarter </w:t>
      </w:r>
      <w:r w:rsidR="00DB3AEC">
        <w:t>five</w:t>
      </w:r>
      <w:r w:rsidR="00195D4A">
        <w:t xml:space="preserve"> data request window</w:t>
      </w:r>
      <w:r w:rsidR="00195D4A" w:rsidRPr="00D54130">
        <w:t>.</w:t>
      </w:r>
      <w:r w:rsidR="00195D4A">
        <w:t xml:space="preserve"> </w:t>
      </w:r>
      <w:r w:rsidR="00A3562F" w:rsidRPr="00A3562F">
        <w:rPr>
          <w:highlight w:val="yellow"/>
        </w:rPr>
        <w:t xml:space="preserve">The data request form can be found on the NTTG website as specified in the transmission provider’s link document as URL </w:t>
      </w:r>
      <w:r w:rsidR="00A3562F" w:rsidRPr="00A3562F">
        <w:rPr>
          <w:sz w:val="16"/>
          <w:szCs w:val="16"/>
          <w:highlight w:val="yellow"/>
        </w:rPr>
        <w:t>http://nttg.biz/site/index.php?option=com_docman&amp;task=cat_view&amp;gid=350&amp;Itemid=31</w:t>
      </w:r>
      <w:r w:rsidR="00A3562F" w:rsidRPr="00A3562F">
        <w:rPr>
          <w:highlight w:val="yellow"/>
        </w:rPr>
        <w:t>.</w:t>
      </w:r>
      <w:r w:rsidR="006E1233">
        <w:t xml:space="preserve"> </w:t>
      </w:r>
      <w:r w:rsidR="000730BF" w:rsidRPr="00D54130">
        <w:rPr>
          <w:iCs/>
        </w:rPr>
        <w:t xml:space="preserve"> </w:t>
      </w:r>
    </w:p>
    <w:p w:rsidR="00F34AFD" w:rsidRDefault="00C669E2" w:rsidP="007136D5">
      <w:pPr>
        <w:pStyle w:val="Heading2"/>
      </w:pPr>
      <w:bookmarkStart w:id="13" w:name="_Toc320179192"/>
      <w:r>
        <w:t xml:space="preserve">Information Required for </w:t>
      </w:r>
      <w:r w:rsidR="00F34AFD">
        <w:t>Projects Submitted for Consideration in the Regional Plan for Cost Allocation</w:t>
      </w:r>
      <w:bookmarkEnd w:id="13"/>
    </w:p>
    <w:p w:rsidR="00F34AFD" w:rsidRPr="00F34AFD" w:rsidRDefault="00B045C6" w:rsidP="00B045C6">
      <w:pPr>
        <w:spacing w:after="120"/>
      </w:pPr>
      <w:r>
        <w:t xml:space="preserve">As shown in </w:t>
      </w:r>
      <w:r w:rsidR="00227808">
        <w:fldChar w:fldCharType="begin"/>
      </w:r>
      <w:r>
        <w:instrText xml:space="preserve"> REF _Ref317654714 \h </w:instrText>
      </w:r>
      <w:r w:rsidR="00227808">
        <w:fldChar w:fldCharType="separate"/>
      </w:r>
      <w:r w:rsidR="00DD5414">
        <w:t xml:space="preserve"> Figure </w:t>
      </w:r>
      <w:r w:rsidR="00DD5414">
        <w:rPr>
          <w:noProof/>
        </w:rPr>
        <w:t>3</w:t>
      </w:r>
      <w:r w:rsidR="00227808">
        <w:fldChar w:fldCharType="end"/>
      </w:r>
      <w:r>
        <w:t xml:space="preserve">, both </w:t>
      </w:r>
      <w:r w:rsidRPr="00E07AF3">
        <w:t>public utility transmission provider</w:t>
      </w:r>
      <w:r>
        <w:t>s</w:t>
      </w:r>
      <w:r w:rsidRPr="00E07AF3">
        <w:t xml:space="preserve"> and non</w:t>
      </w:r>
      <w:r>
        <w:t>-</w:t>
      </w:r>
      <w:r w:rsidRPr="00E07AF3">
        <w:t>incumbent transmission developer</w:t>
      </w:r>
      <w:r>
        <w:t xml:space="preserve">s must submit </w:t>
      </w:r>
      <w:r w:rsidR="00770BCF">
        <w:t>three pieces of information</w:t>
      </w:r>
      <w:r w:rsidR="00C669E2">
        <w:t xml:space="preserve"> (sponsor qualification data, additional cost allocation data and project information data)</w:t>
      </w:r>
      <w:r w:rsidR="00770BCF">
        <w:t xml:space="preserve"> </w:t>
      </w:r>
      <w:r w:rsidR="00770BCF" w:rsidRPr="00657B18">
        <w:t>if they desire</w:t>
      </w:r>
      <w:r w:rsidR="00770BCF">
        <w:t xml:space="preserve"> that their project be considered in NTTG’s regional planning process for possible selection in the regional plan for purposes of cost allocation</w:t>
      </w:r>
      <w:r w:rsidR="0026417A">
        <w:t>.</w:t>
      </w:r>
      <w:r w:rsidR="00770BCF">
        <w:t xml:space="preserve"> </w:t>
      </w:r>
      <w:r w:rsidR="0026417A">
        <w:t>T</w:t>
      </w:r>
      <w:r>
        <w:t>he project information</w:t>
      </w:r>
      <w:r w:rsidR="0026417A">
        <w:t xml:space="preserve"> was described in the preceding section.</w:t>
      </w:r>
      <w:r>
        <w:t xml:space="preserve"> </w:t>
      </w:r>
      <w:r w:rsidR="002D1FEE">
        <w:t xml:space="preserve">The following </w:t>
      </w:r>
      <w:r w:rsidR="0026417A">
        <w:t>sections discuss</w:t>
      </w:r>
      <w:r w:rsidR="002D1FEE">
        <w:t xml:space="preserve"> </w:t>
      </w:r>
      <w:r w:rsidR="0026417A">
        <w:t xml:space="preserve">the </w:t>
      </w:r>
      <w:r w:rsidR="00C669E2">
        <w:t xml:space="preserve">sponsor </w:t>
      </w:r>
      <w:r>
        <w:t>qualification data</w:t>
      </w:r>
      <w:r w:rsidR="002D1FEE">
        <w:t xml:space="preserve">, NTTG’s evaluation criteria that will be applied to the qualification data, and </w:t>
      </w:r>
      <w:r w:rsidR="005077B3">
        <w:t xml:space="preserve">the </w:t>
      </w:r>
      <w:r w:rsidR="002D1FEE">
        <w:t>additional cost allocation data</w:t>
      </w:r>
      <w:r w:rsidR="005077B3">
        <w:t>.</w:t>
      </w:r>
      <w:r w:rsidR="0026417A">
        <w:t xml:space="preserve"> All requested data must be submitted</w:t>
      </w:r>
      <w:r>
        <w:t xml:space="preserve"> in sufficient detail for NTTG</w:t>
      </w:r>
      <w:r w:rsidR="005077B3">
        <w:t xml:space="preserve"> (with stakeholder input) </w:t>
      </w:r>
      <w:r>
        <w:t xml:space="preserve">to determine </w:t>
      </w:r>
      <w:r w:rsidRPr="006167F9">
        <w:t>a</w:t>
      </w:r>
      <w:r w:rsidR="005077B3">
        <w:t xml:space="preserve"> sponsor’s</w:t>
      </w:r>
      <w:r w:rsidRPr="006167F9">
        <w:t xml:space="preserve"> eligibility</w:t>
      </w:r>
      <w:r>
        <w:t xml:space="preserve"> to propose a</w:t>
      </w:r>
      <w:r w:rsidRPr="00774FA5">
        <w:t xml:space="preserve"> </w:t>
      </w:r>
      <w:r>
        <w:t xml:space="preserve">project for selection in the </w:t>
      </w:r>
      <w:r w:rsidR="004A5058">
        <w:t xml:space="preserve">Regional Transmission Plan </w:t>
      </w:r>
      <w:r>
        <w:t xml:space="preserve">for purposes of cost allocation.  </w:t>
      </w:r>
    </w:p>
    <w:p w:rsidR="007136D5" w:rsidRDefault="0026417A" w:rsidP="00F34AFD">
      <w:pPr>
        <w:pStyle w:val="Heading3"/>
      </w:pPr>
      <w:bookmarkStart w:id="14" w:name="_Ref319658271"/>
      <w:bookmarkStart w:id="15" w:name="_Toc320179193"/>
      <w:r>
        <w:t xml:space="preserve">Sponsor </w:t>
      </w:r>
      <w:r w:rsidR="00227653">
        <w:t>Qualification Data</w:t>
      </w:r>
      <w:r w:rsidR="00661035">
        <w:t xml:space="preserve"> </w:t>
      </w:r>
      <w:r w:rsidR="00F34AFD">
        <w:t>– Submitted Prior to Biennial Cycle Begins</w:t>
      </w:r>
      <w:bookmarkEnd w:id="14"/>
      <w:bookmarkEnd w:id="15"/>
    </w:p>
    <w:p w:rsidR="00C830DB" w:rsidRDefault="00521D97" w:rsidP="00801DF0">
      <w:pPr>
        <w:spacing w:after="120"/>
      </w:pPr>
      <w:r>
        <w:t>An entity that</w:t>
      </w:r>
      <w:r w:rsidR="008A7863" w:rsidRPr="00A33DDA">
        <w:t xml:space="preserve"> plan</w:t>
      </w:r>
      <w:r>
        <w:t>s</w:t>
      </w:r>
      <w:r w:rsidR="008A7863" w:rsidRPr="00A33DDA">
        <w:t xml:space="preserve"> to submit </w:t>
      </w:r>
      <w:r>
        <w:t xml:space="preserve">their </w:t>
      </w:r>
      <w:r w:rsidR="006E2F46">
        <w:t xml:space="preserve">regional transmission </w:t>
      </w:r>
      <w:r w:rsidR="008A7863" w:rsidRPr="00A33DDA">
        <w:t xml:space="preserve">project </w:t>
      </w:r>
      <w:r>
        <w:t>in</w:t>
      </w:r>
      <w:r w:rsidR="008A7863" w:rsidRPr="00A33DDA">
        <w:t xml:space="preserve">to </w:t>
      </w:r>
      <w:r>
        <w:t>NTTG’s</w:t>
      </w:r>
      <w:r w:rsidR="008A7863" w:rsidRPr="00A33DDA">
        <w:t xml:space="preserve"> </w:t>
      </w:r>
      <w:r>
        <w:t xml:space="preserve">regional </w:t>
      </w:r>
      <w:r w:rsidR="008A7863" w:rsidRPr="00A33DDA">
        <w:t xml:space="preserve">planning process for </w:t>
      </w:r>
      <w:r>
        <w:t xml:space="preserve">regional </w:t>
      </w:r>
      <w:r w:rsidR="008A7863" w:rsidRPr="00A33DDA">
        <w:t xml:space="preserve">cost allocation must first </w:t>
      </w:r>
      <w:r w:rsidR="00227653">
        <w:t xml:space="preserve">submit qualification data prior to the start of the biennial planning cycle (see </w:t>
      </w:r>
      <w:r w:rsidR="00227808">
        <w:fldChar w:fldCharType="begin"/>
      </w:r>
      <w:r w:rsidR="00227653">
        <w:instrText xml:space="preserve"> REF _Ref317654895 \h </w:instrText>
      </w:r>
      <w:r w:rsidR="00227808">
        <w:fldChar w:fldCharType="separate"/>
      </w:r>
      <w:r w:rsidR="00DD5414">
        <w:t xml:space="preserve">Figure </w:t>
      </w:r>
      <w:r w:rsidR="00DD5414">
        <w:rPr>
          <w:noProof/>
        </w:rPr>
        <w:t>4</w:t>
      </w:r>
      <w:r w:rsidR="00227808">
        <w:fldChar w:fldCharType="end"/>
      </w:r>
      <w:r w:rsidR="00597763">
        <w:t xml:space="preserve"> for the timeline</w:t>
      </w:r>
      <w:r w:rsidR="00227653">
        <w:t>)</w:t>
      </w:r>
      <w:r w:rsidR="00597763">
        <w:t>. The sponsor qualification data will be used</w:t>
      </w:r>
      <w:r w:rsidR="00227653">
        <w:t xml:space="preserve"> to determine the entities eligibility</w:t>
      </w:r>
      <w:r w:rsidR="00597763">
        <w:t xml:space="preserve"> to submit a project for selection in the plan for regional cost allocation</w:t>
      </w:r>
      <w:r w:rsidR="00227653">
        <w:t xml:space="preserve">. This is process is </w:t>
      </w:r>
      <w:r w:rsidR="00661035">
        <w:t xml:space="preserve">shown in </w:t>
      </w:r>
      <w:r w:rsidR="00227808">
        <w:fldChar w:fldCharType="begin"/>
      </w:r>
      <w:r w:rsidR="00661035">
        <w:instrText xml:space="preserve"> REF _Ref318555070 \h </w:instrText>
      </w:r>
      <w:r w:rsidR="00227808">
        <w:fldChar w:fldCharType="separate"/>
      </w:r>
      <w:r w:rsidR="00DD5414">
        <w:t xml:space="preserve">Figure </w:t>
      </w:r>
      <w:r w:rsidR="00DD5414">
        <w:rPr>
          <w:noProof/>
        </w:rPr>
        <w:t>3</w:t>
      </w:r>
      <w:r w:rsidR="00227808">
        <w:fldChar w:fldCharType="end"/>
      </w:r>
      <w:r w:rsidR="008A7863" w:rsidRPr="00A33DDA">
        <w:t xml:space="preserve">. </w:t>
      </w:r>
      <w:r w:rsidR="00597763">
        <w:t xml:space="preserve"> The information </w:t>
      </w:r>
      <w:r w:rsidR="00C53C1F">
        <w:t xml:space="preserve">in </w:t>
      </w:r>
      <w:r w:rsidR="00227808">
        <w:fldChar w:fldCharType="begin"/>
      </w:r>
      <w:r w:rsidR="00C53C1F">
        <w:instrText xml:space="preserve"> REF _Ref320004570 \h </w:instrText>
      </w:r>
      <w:r w:rsidR="00227808">
        <w:fldChar w:fldCharType="separate"/>
      </w:r>
      <w:r w:rsidR="00DD5414">
        <w:t xml:space="preserve">Table </w:t>
      </w:r>
      <w:r w:rsidR="00DD5414">
        <w:rPr>
          <w:noProof/>
        </w:rPr>
        <w:t>1</w:t>
      </w:r>
      <w:r w:rsidR="00227808">
        <w:fldChar w:fldCharType="end"/>
      </w:r>
      <w:r w:rsidR="00C53C1F">
        <w:t xml:space="preserve"> </w:t>
      </w:r>
      <w:r w:rsidR="00597763">
        <w:t>must be submitted by project sponsors.</w:t>
      </w:r>
    </w:p>
    <w:p w:rsidR="002D1FEE" w:rsidRDefault="002D1FEE" w:rsidP="00801DF0">
      <w:pPr>
        <w:spacing w:after="12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4260"/>
        <w:gridCol w:w="4592"/>
      </w:tblGrid>
      <w:tr w:rsidR="00F95327" w:rsidTr="00F95327">
        <w:trPr>
          <w:tblHeader/>
        </w:trPr>
        <w:tc>
          <w:tcPr>
            <w:tcW w:w="9180" w:type="dxa"/>
            <w:gridSpan w:val="3"/>
            <w:vAlign w:val="center"/>
          </w:tcPr>
          <w:p w:rsidR="00000000" w:rsidRDefault="00F95327">
            <w:pPr>
              <w:spacing w:after="120"/>
              <w:jc w:val="center"/>
            </w:pPr>
            <w:r>
              <w:t>Sponsor Qualification Data – Submit Prior to Biennial Cycle Begins</w:t>
            </w:r>
          </w:p>
          <w:p w:rsidR="00000000" w:rsidRDefault="00F95327">
            <w:pPr>
              <w:spacing w:after="120"/>
              <w:jc w:val="center"/>
            </w:pPr>
            <w:r>
              <w:t>Project Submitted for Selection in Regional Plan for Regional Cost Allocation</w:t>
            </w:r>
          </w:p>
        </w:tc>
      </w:tr>
      <w:tr w:rsidR="002C02C3" w:rsidTr="002C02C3">
        <w:trPr>
          <w:tblHeader/>
        </w:trPr>
        <w:tc>
          <w:tcPr>
            <w:tcW w:w="328" w:type="dxa"/>
          </w:tcPr>
          <w:p w:rsidR="002D1FEE" w:rsidRDefault="002D1FEE" w:rsidP="002C02C3">
            <w:pPr>
              <w:spacing w:after="120"/>
            </w:pPr>
          </w:p>
        </w:tc>
        <w:tc>
          <w:tcPr>
            <w:tcW w:w="4260" w:type="dxa"/>
          </w:tcPr>
          <w:p w:rsidR="002D1FEE" w:rsidRDefault="00D54D56" w:rsidP="002C02C3">
            <w:pPr>
              <w:spacing w:after="120"/>
            </w:pPr>
            <w:r>
              <w:t>Category</w:t>
            </w:r>
          </w:p>
        </w:tc>
        <w:tc>
          <w:tcPr>
            <w:tcW w:w="4592" w:type="dxa"/>
          </w:tcPr>
          <w:p w:rsidR="002D1FEE" w:rsidRDefault="00D54D56" w:rsidP="002C02C3">
            <w:pPr>
              <w:spacing w:after="120"/>
            </w:pPr>
            <w:r>
              <w:t>Qualification Data</w:t>
            </w:r>
          </w:p>
        </w:tc>
      </w:tr>
      <w:tr w:rsidR="002C02C3" w:rsidTr="002C02C3">
        <w:tc>
          <w:tcPr>
            <w:tcW w:w="328" w:type="dxa"/>
          </w:tcPr>
          <w:p w:rsidR="002D1FEE" w:rsidRDefault="002D1FEE" w:rsidP="002C02C3">
            <w:pPr>
              <w:spacing w:after="120"/>
            </w:pPr>
            <w:r>
              <w:t>1</w:t>
            </w:r>
          </w:p>
        </w:tc>
        <w:tc>
          <w:tcPr>
            <w:tcW w:w="4260" w:type="dxa"/>
          </w:tcPr>
          <w:p w:rsidR="00D54D56" w:rsidRPr="002C02C3" w:rsidRDefault="002D1FEE" w:rsidP="002C02C3">
            <w:pPr>
              <w:pStyle w:val="NoSpacing"/>
              <w:rPr>
                <w:rFonts w:asciiTheme="minorHAnsi" w:hAnsiTheme="minorHAnsi" w:cstheme="minorHAnsi"/>
              </w:rPr>
            </w:pPr>
            <w:r w:rsidRPr="002C02C3">
              <w:rPr>
                <w:rFonts w:asciiTheme="minorHAnsi" w:hAnsiTheme="minorHAnsi" w:cstheme="minorHAnsi"/>
              </w:rPr>
              <w:t xml:space="preserve">Project </w:t>
            </w:r>
            <w:r w:rsidR="00F241CD" w:rsidRPr="002C02C3">
              <w:rPr>
                <w:rFonts w:asciiTheme="minorHAnsi" w:hAnsiTheme="minorHAnsi" w:cstheme="minorHAnsi"/>
              </w:rPr>
              <w:t>s</w:t>
            </w:r>
            <w:r w:rsidRPr="002C02C3">
              <w:rPr>
                <w:rFonts w:asciiTheme="minorHAnsi" w:hAnsiTheme="minorHAnsi" w:cstheme="minorHAnsi"/>
              </w:rPr>
              <w:t>ponsor description</w:t>
            </w:r>
          </w:p>
        </w:tc>
        <w:tc>
          <w:tcPr>
            <w:tcW w:w="4592" w:type="dxa"/>
          </w:tcPr>
          <w:p w:rsidR="00907933" w:rsidRPr="002C02C3" w:rsidRDefault="00D54D56" w:rsidP="002C02C3">
            <w:pPr>
              <w:pStyle w:val="NoSpacing"/>
              <w:rPr>
                <w:rFonts w:asciiTheme="minorHAnsi" w:hAnsiTheme="minorHAnsi" w:cstheme="minorHAnsi"/>
              </w:rPr>
            </w:pPr>
            <w:r w:rsidRPr="002C02C3">
              <w:rPr>
                <w:rFonts w:asciiTheme="minorHAnsi" w:hAnsiTheme="minorHAnsi" w:cstheme="minorHAnsi"/>
              </w:rPr>
              <w:t xml:space="preserve">1. </w:t>
            </w:r>
            <w:r w:rsidR="00907933" w:rsidRPr="002C02C3">
              <w:rPr>
                <w:rFonts w:asciiTheme="minorHAnsi" w:hAnsiTheme="minorHAnsi" w:cstheme="minorHAnsi"/>
              </w:rPr>
              <w:t>Name and address</w:t>
            </w:r>
          </w:p>
          <w:p w:rsidR="00D54D56" w:rsidRPr="002C02C3" w:rsidRDefault="00907933" w:rsidP="002C02C3">
            <w:pPr>
              <w:pStyle w:val="NoSpacing"/>
              <w:rPr>
                <w:rFonts w:asciiTheme="minorHAnsi" w:hAnsiTheme="minorHAnsi" w:cstheme="minorHAnsi"/>
              </w:rPr>
            </w:pPr>
            <w:r w:rsidRPr="002C02C3">
              <w:rPr>
                <w:rFonts w:asciiTheme="minorHAnsi" w:hAnsiTheme="minorHAnsi" w:cstheme="minorHAnsi"/>
              </w:rPr>
              <w:t xml:space="preserve">2. </w:t>
            </w:r>
            <w:r w:rsidR="00D54D56" w:rsidRPr="002C02C3">
              <w:rPr>
                <w:rFonts w:asciiTheme="minorHAnsi" w:hAnsiTheme="minorHAnsi" w:cstheme="minorHAnsi"/>
              </w:rPr>
              <w:t xml:space="preserve">Years in business </w:t>
            </w:r>
          </w:p>
          <w:p w:rsidR="00025049" w:rsidRPr="002C02C3" w:rsidRDefault="008E05F9" w:rsidP="002C02C3">
            <w:pPr>
              <w:pStyle w:val="NoSpacing"/>
              <w:rPr>
                <w:rFonts w:asciiTheme="minorHAnsi" w:hAnsiTheme="minorHAnsi" w:cstheme="minorHAnsi"/>
              </w:rPr>
            </w:pPr>
            <w:r w:rsidRPr="002C02C3">
              <w:rPr>
                <w:rFonts w:asciiTheme="minorHAnsi" w:hAnsiTheme="minorHAnsi" w:cstheme="minorHAnsi"/>
              </w:rPr>
              <w:t>3</w:t>
            </w:r>
            <w:r w:rsidR="00D54D56" w:rsidRPr="002C02C3">
              <w:rPr>
                <w:rFonts w:asciiTheme="minorHAnsi" w:hAnsiTheme="minorHAnsi" w:cstheme="minorHAnsi"/>
              </w:rPr>
              <w:t xml:space="preserve">. Operating environment </w:t>
            </w:r>
            <w:r w:rsidR="00E149A6" w:rsidRPr="002C02C3">
              <w:rPr>
                <w:rFonts w:asciiTheme="minorHAnsi" w:hAnsiTheme="minorHAnsi" w:cstheme="minorHAnsi"/>
              </w:rPr>
              <w:t xml:space="preserve">(what is the nature of </w:t>
            </w:r>
            <w:r w:rsidR="00E149A6" w:rsidRPr="002C02C3">
              <w:rPr>
                <w:rFonts w:asciiTheme="minorHAnsi" w:hAnsiTheme="minorHAnsi" w:cstheme="minorHAnsi"/>
              </w:rPr>
              <w:lastRenderedPageBreak/>
              <w:t>your business?)</w:t>
            </w:r>
          </w:p>
        </w:tc>
      </w:tr>
      <w:tr w:rsidR="002C02C3" w:rsidTr="002C02C3">
        <w:tc>
          <w:tcPr>
            <w:tcW w:w="328" w:type="dxa"/>
          </w:tcPr>
          <w:p w:rsidR="002D1FEE" w:rsidRDefault="002D1FEE" w:rsidP="002C02C3">
            <w:pPr>
              <w:spacing w:after="120"/>
            </w:pPr>
            <w:r>
              <w:lastRenderedPageBreak/>
              <w:t>2</w:t>
            </w:r>
          </w:p>
        </w:tc>
        <w:tc>
          <w:tcPr>
            <w:tcW w:w="4260" w:type="dxa"/>
          </w:tcPr>
          <w:p w:rsidR="002D1FEE" w:rsidRPr="002C02C3" w:rsidRDefault="002D1FEE" w:rsidP="002C02C3">
            <w:pPr>
              <w:pStyle w:val="NoSpacing"/>
              <w:rPr>
                <w:rFonts w:asciiTheme="minorHAnsi" w:hAnsiTheme="minorHAnsi" w:cstheme="minorHAnsi"/>
              </w:rPr>
            </w:pPr>
            <w:r w:rsidRPr="002C02C3">
              <w:rPr>
                <w:rFonts w:asciiTheme="minorHAnsi" w:hAnsiTheme="minorHAnsi" w:cstheme="minorHAnsi"/>
              </w:rPr>
              <w:t xml:space="preserve">Project </w:t>
            </w:r>
            <w:r w:rsidR="00F241CD" w:rsidRPr="002C02C3">
              <w:rPr>
                <w:rFonts w:asciiTheme="minorHAnsi" w:hAnsiTheme="minorHAnsi" w:cstheme="minorHAnsi"/>
              </w:rPr>
              <w:t>s</w:t>
            </w:r>
            <w:r w:rsidRPr="002C02C3">
              <w:rPr>
                <w:rFonts w:asciiTheme="minorHAnsi" w:hAnsiTheme="minorHAnsi" w:cstheme="minorHAnsi"/>
              </w:rPr>
              <w:t>ponsor demonstration of technical expertise</w:t>
            </w:r>
            <w:r w:rsidR="00F241CD" w:rsidRPr="002C02C3">
              <w:rPr>
                <w:rFonts w:asciiTheme="minorHAnsi" w:hAnsiTheme="minorHAnsi" w:cstheme="minorHAnsi"/>
              </w:rPr>
              <w:t xml:space="preserve"> to develop, construct, own the proposed facility</w:t>
            </w:r>
          </w:p>
        </w:tc>
        <w:tc>
          <w:tcPr>
            <w:tcW w:w="4592" w:type="dxa"/>
          </w:tcPr>
          <w:p w:rsidR="00025049" w:rsidRPr="002C02C3" w:rsidRDefault="00D54D56" w:rsidP="002C02C3">
            <w:pPr>
              <w:pStyle w:val="NoSpacing"/>
              <w:rPr>
                <w:rFonts w:asciiTheme="minorHAnsi" w:hAnsiTheme="minorHAnsi" w:cstheme="minorHAnsi"/>
              </w:rPr>
            </w:pPr>
            <w:r w:rsidRPr="002C02C3">
              <w:rPr>
                <w:rFonts w:asciiTheme="minorHAnsi" w:hAnsiTheme="minorHAnsi" w:cstheme="minorHAnsi"/>
              </w:rPr>
              <w:t>1.</w:t>
            </w:r>
            <w:r w:rsidR="00025049" w:rsidRPr="002C02C3">
              <w:rPr>
                <w:rFonts w:asciiTheme="minorHAnsi" w:hAnsiTheme="minorHAnsi" w:cstheme="minorHAnsi"/>
              </w:rPr>
              <w:t xml:space="preserve"> Management’s experience in the industry</w:t>
            </w:r>
          </w:p>
          <w:p w:rsidR="00907933" w:rsidRPr="002C02C3" w:rsidRDefault="00025049" w:rsidP="002C02C3">
            <w:pPr>
              <w:pStyle w:val="NoSpacing"/>
              <w:rPr>
                <w:rFonts w:asciiTheme="minorHAnsi" w:hAnsiTheme="minorHAnsi" w:cstheme="minorHAnsi"/>
              </w:rPr>
            </w:pPr>
            <w:r w:rsidRPr="002C02C3">
              <w:rPr>
                <w:rFonts w:asciiTheme="minorHAnsi" w:hAnsiTheme="minorHAnsi" w:cstheme="minorHAnsi"/>
              </w:rPr>
              <w:t>2.</w:t>
            </w:r>
            <w:r w:rsidR="00D54D56" w:rsidRPr="002C02C3">
              <w:rPr>
                <w:rFonts w:asciiTheme="minorHAnsi" w:hAnsiTheme="minorHAnsi" w:cstheme="minorHAnsi"/>
              </w:rPr>
              <w:t xml:space="preserve"> </w:t>
            </w:r>
            <w:r w:rsidR="00907933" w:rsidRPr="002C02C3">
              <w:rPr>
                <w:rFonts w:asciiTheme="minorHAnsi" w:hAnsiTheme="minorHAnsi" w:cstheme="minorHAnsi"/>
              </w:rPr>
              <w:t xml:space="preserve">Scope of </w:t>
            </w:r>
            <w:r w:rsidR="008E05F9" w:rsidRPr="002C02C3">
              <w:rPr>
                <w:rFonts w:asciiTheme="minorHAnsi" w:hAnsiTheme="minorHAnsi" w:cstheme="minorHAnsi"/>
              </w:rPr>
              <w:t xml:space="preserve">sponsor’s </w:t>
            </w:r>
            <w:r w:rsidR="00907933" w:rsidRPr="002C02C3">
              <w:rPr>
                <w:rFonts w:asciiTheme="minorHAnsi" w:hAnsiTheme="minorHAnsi" w:cstheme="minorHAnsi"/>
              </w:rPr>
              <w:t>technical expertise (in</w:t>
            </w:r>
            <w:r w:rsidR="008E05F9" w:rsidRPr="002C02C3">
              <w:rPr>
                <w:rFonts w:asciiTheme="minorHAnsi" w:hAnsiTheme="minorHAnsi" w:cstheme="minorHAnsi"/>
              </w:rPr>
              <w:t xml:space="preserve"> </w:t>
            </w:r>
            <w:r w:rsidR="00907933" w:rsidRPr="002C02C3">
              <w:rPr>
                <w:rFonts w:asciiTheme="minorHAnsi" w:hAnsiTheme="minorHAnsi" w:cstheme="minorHAnsi"/>
              </w:rPr>
              <w:t xml:space="preserve">house </w:t>
            </w:r>
            <w:r w:rsidR="00E149A6" w:rsidRPr="002C02C3">
              <w:rPr>
                <w:rFonts w:asciiTheme="minorHAnsi" w:hAnsiTheme="minorHAnsi" w:cstheme="minorHAnsi"/>
              </w:rPr>
              <w:t>expertise and/</w:t>
            </w:r>
            <w:r w:rsidR="00907933" w:rsidRPr="002C02C3">
              <w:rPr>
                <w:rFonts w:asciiTheme="minorHAnsi" w:hAnsiTheme="minorHAnsi" w:cstheme="minorHAnsi"/>
              </w:rPr>
              <w:t>or out sourced</w:t>
            </w:r>
            <w:r w:rsidR="00E149A6" w:rsidRPr="002C02C3">
              <w:rPr>
                <w:rFonts w:asciiTheme="minorHAnsi" w:hAnsiTheme="minorHAnsi" w:cstheme="minorHAnsi"/>
              </w:rPr>
              <w:t xml:space="preserve"> expertise</w:t>
            </w:r>
            <w:r w:rsidR="00907933" w:rsidRPr="002C02C3">
              <w:rPr>
                <w:rFonts w:asciiTheme="minorHAnsi" w:hAnsiTheme="minorHAnsi" w:cstheme="minorHAnsi"/>
              </w:rPr>
              <w:t>)</w:t>
            </w:r>
            <w:r w:rsidR="009B29BC" w:rsidRPr="002C02C3">
              <w:rPr>
                <w:rFonts w:asciiTheme="minorHAnsi" w:hAnsiTheme="minorHAnsi" w:cstheme="minorHAnsi"/>
              </w:rPr>
              <w:t xml:space="preserve"> </w:t>
            </w:r>
          </w:p>
          <w:p w:rsidR="00D54D56" w:rsidRPr="002C02C3" w:rsidRDefault="00907933" w:rsidP="002C02C3">
            <w:pPr>
              <w:pStyle w:val="NoSpacing"/>
              <w:rPr>
                <w:rFonts w:asciiTheme="minorHAnsi" w:hAnsiTheme="minorHAnsi" w:cstheme="minorHAnsi"/>
              </w:rPr>
            </w:pPr>
            <w:r w:rsidRPr="002C02C3">
              <w:rPr>
                <w:rFonts w:asciiTheme="minorHAnsi" w:hAnsiTheme="minorHAnsi" w:cstheme="minorHAnsi"/>
              </w:rPr>
              <w:t xml:space="preserve">3. </w:t>
            </w:r>
            <w:r w:rsidR="00025049" w:rsidRPr="002C02C3">
              <w:rPr>
                <w:rFonts w:asciiTheme="minorHAnsi" w:hAnsiTheme="minorHAnsi" w:cstheme="minorHAnsi"/>
              </w:rPr>
              <w:t>Name and location of a p</w:t>
            </w:r>
            <w:r w:rsidR="00D54D56" w:rsidRPr="002C02C3">
              <w:rPr>
                <w:rFonts w:asciiTheme="minorHAnsi" w:hAnsiTheme="minorHAnsi" w:cstheme="minorHAnsi"/>
              </w:rPr>
              <w:t xml:space="preserve">roject </w:t>
            </w:r>
            <w:r w:rsidR="00025049" w:rsidRPr="002C02C3">
              <w:rPr>
                <w:rFonts w:asciiTheme="minorHAnsi" w:hAnsiTheme="minorHAnsi" w:cstheme="minorHAnsi"/>
              </w:rPr>
              <w:t>of similar scale</w:t>
            </w:r>
            <w:r w:rsidR="008E05F9" w:rsidRPr="002C02C3">
              <w:rPr>
                <w:rFonts w:asciiTheme="minorHAnsi" w:hAnsiTheme="minorHAnsi" w:cstheme="minorHAnsi"/>
              </w:rPr>
              <w:t xml:space="preserve"> that demonstrates the sponsor’s </w:t>
            </w:r>
            <w:r w:rsidRPr="002C02C3">
              <w:rPr>
                <w:rFonts w:asciiTheme="minorHAnsi" w:hAnsiTheme="minorHAnsi" w:cstheme="minorHAnsi"/>
              </w:rPr>
              <w:t>technical expertise</w:t>
            </w:r>
          </w:p>
        </w:tc>
      </w:tr>
      <w:tr w:rsidR="002C02C3" w:rsidTr="002C02C3">
        <w:tc>
          <w:tcPr>
            <w:tcW w:w="328" w:type="dxa"/>
          </w:tcPr>
          <w:p w:rsidR="002D1FEE" w:rsidRDefault="002D1FEE" w:rsidP="002C02C3">
            <w:pPr>
              <w:spacing w:after="120"/>
            </w:pPr>
            <w:r>
              <w:t>3</w:t>
            </w:r>
          </w:p>
        </w:tc>
        <w:tc>
          <w:tcPr>
            <w:tcW w:w="4260" w:type="dxa"/>
          </w:tcPr>
          <w:p w:rsidR="006B4C4D" w:rsidRPr="002C02C3" w:rsidRDefault="002D1FEE" w:rsidP="002C02C3">
            <w:pPr>
              <w:pStyle w:val="NoSpacing"/>
              <w:rPr>
                <w:rFonts w:asciiTheme="minorHAnsi" w:hAnsiTheme="minorHAnsi" w:cstheme="minorHAnsi"/>
              </w:rPr>
            </w:pPr>
            <w:r w:rsidRPr="002C02C3">
              <w:rPr>
                <w:rFonts w:asciiTheme="minorHAnsi" w:hAnsiTheme="minorHAnsi" w:cstheme="minorHAnsi"/>
              </w:rPr>
              <w:t xml:space="preserve">Project </w:t>
            </w:r>
            <w:r w:rsidR="00300B8A" w:rsidRPr="002C02C3">
              <w:rPr>
                <w:rFonts w:asciiTheme="minorHAnsi" w:hAnsiTheme="minorHAnsi" w:cstheme="minorHAnsi"/>
              </w:rPr>
              <w:t>s</w:t>
            </w:r>
            <w:r w:rsidRPr="002C02C3">
              <w:rPr>
                <w:rFonts w:asciiTheme="minorHAnsi" w:hAnsiTheme="minorHAnsi" w:cstheme="minorHAnsi"/>
              </w:rPr>
              <w:t>ponsor financial expertise to develop, construct, own the proposed facility</w:t>
            </w:r>
          </w:p>
        </w:tc>
        <w:tc>
          <w:tcPr>
            <w:tcW w:w="4592" w:type="dxa"/>
          </w:tcPr>
          <w:p w:rsidR="00D54D56" w:rsidRPr="002C02C3" w:rsidRDefault="00D54D56" w:rsidP="002C02C3">
            <w:pPr>
              <w:pStyle w:val="NoSpacing"/>
              <w:rPr>
                <w:rFonts w:asciiTheme="minorHAnsi" w:hAnsiTheme="minorHAnsi" w:cstheme="minorHAnsi"/>
              </w:rPr>
            </w:pPr>
            <w:r w:rsidRPr="002C02C3">
              <w:rPr>
                <w:rFonts w:asciiTheme="minorHAnsi" w:hAnsiTheme="minorHAnsi" w:cstheme="minorHAnsi"/>
              </w:rPr>
              <w:t xml:space="preserve">1. Balance sheet </w:t>
            </w:r>
            <w:r w:rsidR="00F241CD" w:rsidRPr="002C02C3">
              <w:rPr>
                <w:rFonts w:asciiTheme="minorHAnsi" w:hAnsiTheme="minorHAnsi" w:cstheme="minorHAnsi"/>
              </w:rPr>
              <w:t xml:space="preserve">or </w:t>
            </w:r>
            <w:r w:rsidR="00907933" w:rsidRPr="002C02C3">
              <w:rPr>
                <w:rFonts w:asciiTheme="minorHAnsi" w:hAnsiTheme="minorHAnsi" w:cstheme="minorHAnsi"/>
              </w:rPr>
              <w:t>annual report</w:t>
            </w:r>
            <w:r w:rsidR="00F241CD" w:rsidRPr="002C02C3">
              <w:rPr>
                <w:rFonts w:asciiTheme="minorHAnsi" w:hAnsiTheme="minorHAnsi" w:cstheme="minorHAnsi"/>
              </w:rPr>
              <w:t xml:space="preserve"> (if appropriate)</w:t>
            </w:r>
          </w:p>
          <w:p w:rsidR="009B29BC" w:rsidRPr="002C02C3" w:rsidRDefault="009B29BC" w:rsidP="002C02C3">
            <w:pPr>
              <w:pStyle w:val="NoSpacing"/>
              <w:rPr>
                <w:rFonts w:asciiTheme="minorHAnsi" w:hAnsiTheme="minorHAnsi" w:cstheme="minorHAnsi"/>
              </w:rPr>
            </w:pPr>
            <w:r w:rsidRPr="002C02C3">
              <w:rPr>
                <w:rFonts w:asciiTheme="minorHAnsi" w:hAnsiTheme="minorHAnsi" w:cstheme="minorHAnsi"/>
              </w:rPr>
              <w:t xml:space="preserve">2. Credit worthiness </w:t>
            </w:r>
          </w:p>
          <w:p w:rsidR="00D54D56" w:rsidRPr="002C02C3" w:rsidRDefault="009B29BC" w:rsidP="002C02C3">
            <w:pPr>
              <w:pStyle w:val="NoSpacing"/>
              <w:ind w:left="432"/>
              <w:rPr>
                <w:rFonts w:asciiTheme="minorHAnsi" w:hAnsiTheme="minorHAnsi" w:cstheme="minorHAnsi"/>
              </w:rPr>
            </w:pPr>
            <w:r w:rsidRPr="002C02C3">
              <w:rPr>
                <w:rFonts w:asciiTheme="minorHAnsi" w:hAnsiTheme="minorHAnsi" w:cstheme="minorHAnsi"/>
              </w:rPr>
              <w:t xml:space="preserve">a. </w:t>
            </w:r>
            <w:r w:rsidR="00D54D56" w:rsidRPr="002C02C3">
              <w:rPr>
                <w:rFonts w:asciiTheme="minorHAnsi" w:hAnsiTheme="minorHAnsi" w:cstheme="minorHAnsi"/>
              </w:rPr>
              <w:t>Rating</w:t>
            </w:r>
            <w:r w:rsidR="00025049" w:rsidRPr="002C02C3">
              <w:rPr>
                <w:rFonts w:asciiTheme="minorHAnsi" w:hAnsiTheme="minorHAnsi" w:cstheme="minorHAnsi"/>
              </w:rPr>
              <w:t xml:space="preserve"> agency reports (if applicable)</w:t>
            </w:r>
            <w:r w:rsidR="00D54D56" w:rsidRPr="002C02C3">
              <w:rPr>
                <w:rFonts w:asciiTheme="minorHAnsi" w:hAnsiTheme="minorHAnsi" w:cstheme="minorHAnsi"/>
              </w:rPr>
              <w:t xml:space="preserve"> </w:t>
            </w:r>
          </w:p>
          <w:p w:rsidR="00D54D56" w:rsidRPr="002C02C3" w:rsidRDefault="009B29BC" w:rsidP="002C02C3">
            <w:pPr>
              <w:pStyle w:val="NoSpacing"/>
              <w:ind w:left="432"/>
              <w:rPr>
                <w:rFonts w:asciiTheme="minorHAnsi" w:hAnsiTheme="minorHAnsi" w:cstheme="minorHAnsi"/>
              </w:rPr>
            </w:pPr>
            <w:r w:rsidRPr="002C02C3">
              <w:rPr>
                <w:rFonts w:asciiTheme="minorHAnsi" w:hAnsiTheme="minorHAnsi" w:cstheme="minorHAnsi"/>
              </w:rPr>
              <w:t>b.</w:t>
            </w:r>
            <w:r w:rsidR="00D54D56" w:rsidRPr="002C02C3">
              <w:rPr>
                <w:rFonts w:asciiTheme="minorHAnsi" w:hAnsiTheme="minorHAnsi" w:cstheme="minorHAnsi"/>
              </w:rPr>
              <w:t xml:space="preserve"> Two most recent audited year-end financial statements plus any available quarterly financial sta</w:t>
            </w:r>
            <w:r w:rsidR="00025049" w:rsidRPr="002C02C3">
              <w:rPr>
                <w:rFonts w:asciiTheme="minorHAnsi" w:hAnsiTheme="minorHAnsi" w:cstheme="minorHAnsi"/>
              </w:rPr>
              <w:t>tements for current fiscal year</w:t>
            </w:r>
            <w:r w:rsidR="00D54D56" w:rsidRPr="002C02C3">
              <w:rPr>
                <w:rFonts w:asciiTheme="minorHAnsi" w:hAnsiTheme="minorHAnsi" w:cstheme="minorHAnsi"/>
              </w:rPr>
              <w:t xml:space="preserve"> </w:t>
            </w:r>
            <w:r w:rsidR="00F241CD" w:rsidRPr="002C02C3">
              <w:rPr>
                <w:rFonts w:asciiTheme="minorHAnsi" w:hAnsiTheme="minorHAnsi" w:cstheme="minorHAnsi"/>
              </w:rPr>
              <w:t xml:space="preserve"> (if applicable)</w:t>
            </w:r>
          </w:p>
          <w:p w:rsidR="002D1FEE" w:rsidRPr="002C02C3" w:rsidRDefault="009B29BC" w:rsidP="002C02C3">
            <w:pPr>
              <w:pStyle w:val="NoSpacing"/>
              <w:ind w:left="432"/>
              <w:rPr>
                <w:rFonts w:asciiTheme="minorHAnsi" w:hAnsiTheme="minorHAnsi" w:cstheme="minorHAnsi"/>
              </w:rPr>
            </w:pPr>
            <w:r w:rsidRPr="002C02C3">
              <w:rPr>
                <w:rFonts w:asciiTheme="minorHAnsi" w:hAnsiTheme="minorHAnsi" w:cstheme="minorHAnsi"/>
              </w:rPr>
              <w:t>c</w:t>
            </w:r>
            <w:r w:rsidR="00D54D56" w:rsidRPr="002C02C3">
              <w:rPr>
                <w:rFonts w:asciiTheme="minorHAnsi" w:hAnsiTheme="minorHAnsi" w:cstheme="minorHAnsi"/>
              </w:rPr>
              <w:t xml:space="preserve">. Material issues that could impact the credit decision including but not limited to litigation, arbitration, contingencies, or investigations </w:t>
            </w:r>
            <w:r w:rsidR="00F241CD" w:rsidRPr="002C02C3">
              <w:rPr>
                <w:rFonts w:asciiTheme="minorHAnsi" w:hAnsiTheme="minorHAnsi" w:cstheme="minorHAnsi"/>
              </w:rPr>
              <w:t xml:space="preserve"> (if applicable)</w:t>
            </w:r>
          </w:p>
          <w:p w:rsidR="00A31417" w:rsidRPr="002C02C3" w:rsidRDefault="00A31417" w:rsidP="002C02C3">
            <w:pPr>
              <w:pStyle w:val="NoSpacing"/>
              <w:rPr>
                <w:rFonts w:asciiTheme="minorHAnsi" w:hAnsiTheme="minorHAnsi" w:cstheme="minorHAnsi"/>
              </w:rPr>
            </w:pPr>
            <w:r w:rsidRPr="002C02C3">
              <w:rPr>
                <w:rFonts w:asciiTheme="minorHAnsi" w:hAnsiTheme="minorHAnsi" w:cstheme="minorHAnsi"/>
              </w:rPr>
              <w:t>3. Other information supporting sponsor’s financial expertise</w:t>
            </w:r>
          </w:p>
        </w:tc>
      </w:tr>
      <w:tr w:rsidR="002C02C3" w:rsidTr="002C02C3">
        <w:tc>
          <w:tcPr>
            <w:tcW w:w="328" w:type="dxa"/>
          </w:tcPr>
          <w:p w:rsidR="006B4C4D" w:rsidRDefault="006B4C4D" w:rsidP="002C02C3">
            <w:pPr>
              <w:spacing w:after="120"/>
            </w:pPr>
            <w:r>
              <w:t>4</w:t>
            </w:r>
          </w:p>
        </w:tc>
        <w:tc>
          <w:tcPr>
            <w:tcW w:w="4260" w:type="dxa"/>
          </w:tcPr>
          <w:p w:rsidR="006B4C4D" w:rsidRPr="002C02C3" w:rsidRDefault="006B4C4D" w:rsidP="002C02C3">
            <w:pPr>
              <w:pStyle w:val="NoSpacing"/>
              <w:rPr>
                <w:rFonts w:asciiTheme="minorHAnsi" w:hAnsiTheme="minorHAnsi" w:cstheme="minorHAnsi"/>
              </w:rPr>
            </w:pPr>
            <w:r w:rsidRPr="002C02C3">
              <w:rPr>
                <w:rFonts w:asciiTheme="minorHAnsi" w:hAnsiTheme="minorHAnsi" w:cstheme="minorHAnsi"/>
              </w:rPr>
              <w:t>Project Sponsor ability to maintain and operate their proposed facility</w:t>
            </w:r>
          </w:p>
        </w:tc>
        <w:tc>
          <w:tcPr>
            <w:tcW w:w="4592" w:type="dxa"/>
          </w:tcPr>
          <w:p w:rsidR="00865CFC" w:rsidRPr="002C02C3" w:rsidRDefault="00865CFC" w:rsidP="002C02C3">
            <w:pPr>
              <w:pStyle w:val="NoSpacing"/>
              <w:rPr>
                <w:rFonts w:asciiTheme="minorHAnsi" w:hAnsiTheme="minorHAnsi" w:cstheme="minorHAnsi"/>
              </w:rPr>
            </w:pPr>
            <w:r w:rsidRPr="002C02C3">
              <w:rPr>
                <w:rFonts w:asciiTheme="minorHAnsi" w:hAnsiTheme="minorHAnsi" w:cstheme="minorHAnsi"/>
              </w:rPr>
              <w:t>1. P</w:t>
            </w:r>
            <w:r w:rsidR="006B4C4D" w:rsidRPr="002C02C3">
              <w:rPr>
                <w:rFonts w:asciiTheme="minorHAnsi" w:hAnsiTheme="minorHAnsi" w:cstheme="minorHAnsi"/>
              </w:rPr>
              <w:t xml:space="preserve">rior operation </w:t>
            </w:r>
            <w:r w:rsidRPr="002C02C3">
              <w:rPr>
                <w:rFonts w:asciiTheme="minorHAnsi" w:hAnsiTheme="minorHAnsi" w:cstheme="minorHAnsi"/>
              </w:rPr>
              <w:t>experience</w:t>
            </w:r>
          </w:p>
          <w:p w:rsidR="006B4C4D" w:rsidRPr="002C02C3" w:rsidRDefault="00865CFC" w:rsidP="002C02C3">
            <w:pPr>
              <w:pStyle w:val="NoSpacing"/>
              <w:rPr>
                <w:rFonts w:asciiTheme="minorHAnsi" w:hAnsiTheme="minorHAnsi" w:cstheme="minorHAnsi"/>
              </w:rPr>
            </w:pPr>
            <w:r w:rsidRPr="002C02C3">
              <w:rPr>
                <w:rFonts w:asciiTheme="minorHAnsi" w:hAnsiTheme="minorHAnsi" w:cstheme="minorHAnsi"/>
              </w:rPr>
              <w:t xml:space="preserve">2. Prior </w:t>
            </w:r>
            <w:r w:rsidR="006B4C4D" w:rsidRPr="002C02C3">
              <w:rPr>
                <w:rFonts w:asciiTheme="minorHAnsi" w:hAnsiTheme="minorHAnsi" w:cstheme="minorHAnsi"/>
              </w:rPr>
              <w:t xml:space="preserve">maintenance </w:t>
            </w:r>
            <w:r w:rsidR="00025049" w:rsidRPr="002C02C3">
              <w:rPr>
                <w:rFonts w:asciiTheme="minorHAnsi" w:hAnsiTheme="minorHAnsi" w:cstheme="minorHAnsi"/>
              </w:rPr>
              <w:t>experience</w:t>
            </w:r>
          </w:p>
        </w:tc>
      </w:tr>
      <w:tr w:rsidR="002C02C3" w:rsidTr="002C02C3">
        <w:tc>
          <w:tcPr>
            <w:tcW w:w="328" w:type="dxa"/>
          </w:tcPr>
          <w:p w:rsidR="006B4C4D" w:rsidRDefault="006B4C4D" w:rsidP="002C02C3">
            <w:pPr>
              <w:spacing w:after="120"/>
            </w:pPr>
            <w:r>
              <w:t>5</w:t>
            </w:r>
          </w:p>
        </w:tc>
        <w:tc>
          <w:tcPr>
            <w:tcW w:w="4260" w:type="dxa"/>
          </w:tcPr>
          <w:p w:rsidR="006B4C4D" w:rsidRPr="002C02C3" w:rsidRDefault="006B4C4D" w:rsidP="002C02C3">
            <w:pPr>
              <w:pStyle w:val="NoSpacing"/>
              <w:rPr>
                <w:rFonts w:asciiTheme="minorHAnsi" w:hAnsiTheme="minorHAnsi" w:cstheme="minorHAnsi"/>
              </w:rPr>
            </w:pPr>
            <w:r w:rsidRPr="002C02C3">
              <w:rPr>
                <w:rFonts w:asciiTheme="minorHAnsi" w:hAnsiTheme="minorHAnsi" w:cstheme="minorHAnsi"/>
              </w:rPr>
              <w:t xml:space="preserve">Project summary </w:t>
            </w:r>
          </w:p>
        </w:tc>
        <w:tc>
          <w:tcPr>
            <w:tcW w:w="4592" w:type="dxa"/>
          </w:tcPr>
          <w:p w:rsidR="00865CFC" w:rsidRPr="002C02C3" w:rsidRDefault="00865CFC" w:rsidP="002C02C3">
            <w:pPr>
              <w:pStyle w:val="NoSpacing"/>
              <w:rPr>
                <w:rFonts w:asciiTheme="minorHAnsi" w:hAnsiTheme="minorHAnsi" w:cstheme="minorHAnsi"/>
              </w:rPr>
            </w:pPr>
            <w:r w:rsidRPr="002C02C3">
              <w:rPr>
                <w:rFonts w:asciiTheme="minorHAnsi" w:hAnsiTheme="minorHAnsi" w:cstheme="minorHAnsi"/>
              </w:rPr>
              <w:t xml:space="preserve">1. </w:t>
            </w:r>
            <w:r w:rsidR="008E05F9" w:rsidRPr="002C02C3">
              <w:rPr>
                <w:rFonts w:asciiTheme="minorHAnsi" w:hAnsiTheme="minorHAnsi" w:cstheme="minorHAnsi"/>
              </w:rPr>
              <w:t xml:space="preserve">Summarize </w:t>
            </w:r>
            <w:r w:rsidR="006B4C4D" w:rsidRPr="002C02C3">
              <w:rPr>
                <w:rFonts w:asciiTheme="minorHAnsi" w:hAnsiTheme="minorHAnsi" w:cstheme="minorHAnsi"/>
              </w:rPr>
              <w:t>the proposed project</w:t>
            </w:r>
          </w:p>
        </w:tc>
      </w:tr>
      <w:tr w:rsidR="002C02C3" w:rsidTr="002C02C3">
        <w:tc>
          <w:tcPr>
            <w:tcW w:w="328" w:type="dxa"/>
          </w:tcPr>
          <w:p w:rsidR="006B4C4D" w:rsidRDefault="00A31417" w:rsidP="002C02C3">
            <w:pPr>
              <w:spacing w:after="120"/>
            </w:pPr>
            <w:r>
              <w:t>6</w:t>
            </w:r>
          </w:p>
        </w:tc>
        <w:tc>
          <w:tcPr>
            <w:tcW w:w="4260" w:type="dxa"/>
          </w:tcPr>
          <w:p w:rsidR="006B4C4D" w:rsidRPr="002C02C3" w:rsidRDefault="006B4C4D" w:rsidP="002C02C3">
            <w:pPr>
              <w:pStyle w:val="NoSpacing"/>
              <w:rPr>
                <w:rFonts w:asciiTheme="minorHAnsi" w:hAnsiTheme="minorHAnsi" w:cstheme="minorHAnsi"/>
              </w:rPr>
            </w:pPr>
            <w:r w:rsidRPr="002C02C3">
              <w:rPr>
                <w:rFonts w:asciiTheme="minorHAnsi" w:hAnsiTheme="minorHAnsi" w:cstheme="minorHAnsi"/>
              </w:rPr>
              <w:t xml:space="preserve">Investors </w:t>
            </w:r>
          </w:p>
        </w:tc>
        <w:tc>
          <w:tcPr>
            <w:tcW w:w="4592" w:type="dxa"/>
          </w:tcPr>
          <w:p w:rsidR="00760817" w:rsidRPr="002C02C3" w:rsidRDefault="00760817" w:rsidP="002C02C3">
            <w:pPr>
              <w:pStyle w:val="NoSpacing"/>
              <w:ind w:left="0" w:firstLine="0"/>
              <w:rPr>
                <w:rFonts w:asciiTheme="minorHAnsi" w:hAnsiTheme="minorHAnsi" w:cstheme="minorHAnsi"/>
              </w:rPr>
            </w:pPr>
            <w:r w:rsidRPr="002C02C3">
              <w:rPr>
                <w:rFonts w:asciiTheme="minorHAnsi" w:hAnsiTheme="minorHAnsi" w:cstheme="minorHAnsi"/>
              </w:rPr>
              <w:t xml:space="preserve">1. </w:t>
            </w:r>
            <w:r w:rsidR="006B4C4D" w:rsidRPr="002C02C3">
              <w:rPr>
                <w:rFonts w:asciiTheme="minorHAnsi" w:hAnsiTheme="minorHAnsi" w:cstheme="minorHAnsi"/>
              </w:rPr>
              <w:t>Description</w:t>
            </w:r>
          </w:p>
          <w:p w:rsidR="006B4C4D" w:rsidRPr="002C02C3" w:rsidRDefault="00760817" w:rsidP="002C02C3">
            <w:pPr>
              <w:pStyle w:val="NoSpacing"/>
              <w:rPr>
                <w:rFonts w:asciiTheme="minorHAnsi" w:hAnsiTheme="minorHAnsi" w:cstheme="minorHAnsi"/>
              </w:rPr>
            </w:pPr>
            <w:r w:rsidRPr="002C02C3">
              <w:rPr>
                <w:rFonts w:asciiTheme="minorHAnsi" w:hAnsiTheme="minorHAnsi" w:cstheme="minorHAnsi"/>
              </w:rPr>
              <w:t>2. I</w:t>
            </w:r>
            <w:r w:rsidR="006B4C4D" w:rsidRPr="002C02C3">
              <w:rPr>
                <w:rFonts w:asciiTheme="minorHAnsi" w:hAnsiTheme="minorHAnsi" w:cstheme="minorHAnsi"/>
              </w:rPr>
              <w:t>nterest</w:t>
            </w:r>
          </w:p>
        </w:tc>
      </w:tr>
      <w:tr w:rsidR="002C02C3" w:rsidTr="002C02C3">
        <w:tc>
          <w:tcPr>
            <w:tcW w:w="328" w:type="dxa"/>
          </w:tcPr>
          <w:p w:rsidR="006B4C4D" w:rsidRDefault="00A31417" w:rsidP="002C02C3">
            <w:pPr>
              <w:spacing w:after="120"/>
            </w:pPr>
            <w:r>
              <w:t>7</w:t>
            </w:r>
          </w:p>
        </w:tc>
        <w:tc>
          <w:tcPr>
            <w:tcW w:w="4260" w:type="dxa"/>
          </w:tcPr>
          <w:p w:rsidR="006B4C4D" w:rsidRPr="002C02C3" w:rsidRDefault="006B4C4D" w:rsidP="002C02C3">
            <w:pPr>
              <w:pStyle w:val="NoSpacing"/>
              <w:rPr>
                <w:rFonts w:asciiTheme="minorHAnsi" w:hAnsiTheme="minorHAnsi" w:cstheme="minorHAnsi"/>
              </w:rPr>
            </w:pPr>
            <w:r w:rsidRPr="002C02C3">
              <w:rPr>
                <w:rFonts w:asciiTheme="minorHAnsi" w:hAnsiTheme="minorHAnsi" w:cstheme="minorHAnsi"/>
              </w:rPr>
              <w:t>Demonstration of ability and commitment to register and comply with all NERC standards</w:t>
            </w:r>
          </w:p>
        </w:tc>
        <w:tc>
          <w:tcPr>
            <w:tcW w:w="4592" w:type="dxa"/>
          </w:tcPr>
          <w:p w:rsidR="006B4C4D" w:rsidRDefault="00A31417" w:rsidP="002C02C3">
            <w:pPr>
              <w:spacing w:after="120"/>
            </w:pPr>
            <w:r>
              <w:t xml:space="preserve">1. </w:t>
            </w:r>
            <w:r w:rsidR="006B4C4D">
              <w:t>An attestation form</w:t>
            </w:r>
          </w:p>
        </w:tc>
      </w:tr>
      <w:tr w:rsidR="002C02C3" w:rsidTr="002C02C3">
        <w:tc>
          <w:tcPr>
            <w:tcW w:w="328" w:type="dxa"/>
          </w:tcPr>
          <w:p w:rsidR="006B4C4D" w:rsidRDefault="00A31417" w:rsidP="002C02C3">
            <w:pPr>
              <w:spacing w:after="120"/>
            </w:pPr>
            <w:r>
              <w:t>8</w:t>
            </w:r>
          </w:p>
        </w:tc>
        <w:tc>
          <w:tcPr>
            <w:tcW w:w="4260" w:type="dxa"/>
          </w:tcPr>
          <w:p w:rsidR="006B4C4D" w:rsidRPr="002C02C3" w:rsidRDefault="006B4C4D" w:rsidP="002C02C3">
            <w:pPr>
              <w:pStyle w:val="NoSpacing"/>
              <w:rPr>
                <w:rFonts w:asciiTheme="minorHAnsi" w:hAnsiTheme="minorHAnsi" w:cstheme="minorHAnsi"/>
              </w:rPr>
            </w:pPr>
            <w:r w:rsidRPr="002C02C3">
              <w:rPr>
                <w:rFonts w:asciiTheme="minorHAnsi" w:hAnsiTheme="minorHAnsi" w:cstheme="minorHAnsi"/>
              </w:rPr>
              <w:t xml:space="preserve">Other </w:t>
            </w:r>
            <w:r w:rsidR="00A31417" w:rsidRPr="002C02C3">
              <w:rPr>
                <w:rFonts w:asciiTheme="minorHAnsi" w:hAnsiTheme="minorHAnsi" w:cstheme="minorHAnsi"/>
              </w:rPr>
              <w:t>r</w:t>
            </w:r>
            <w:r w:rsidRPr="002C02C3">
              <w:rPr>
                <w:rFonts w:asciiTheme="minorHAnsi" w:hAnsiTheme="minorHAnsi" w:cstheme="minorHAnsi"/>
              </w:rPr>
              <w:t xml:space="preserve">elevant or pertinent data </w:t>
            </w:r>
            <w:r w:rsidR="00A31417" w:rsidRPr="002C02C3">
              <w:rPr>
                <w:rFonts w:asciiTheme="minorHAnsi" w:hAnsiTheme="minorHAnsi" w:cstheme="minorHAnsi"/>
              </w:rPr>
              <w:t>or</w:t>
            </w:r>
            <w:r w:rsidRPr="002C02C3">
              <w:rPr>
                <w:rFonts w:asciiTheme="minorHAnsi" w:hAnsiTheme="minorHAnsi" w:cstheme="minorHAnsi"/>
              </w:rPr>
              <w:t xml:space="preserve"> information</w:t>
            </w:r>
          </w:p>
        </w:tc>
        <w:tc>
          <w:tcPr>
            <w:tcW w:w="4592" w:type="dxa"/>
          </w:tcPr>
          <w:p w:rsidR="006B4C4D" w:rsidRDefault="00A31417" w:rsidP="002C02C3">
            <w:pPr>
              <w:spacing w:after="120"/>
            </w:pPr>
            <w:r>
              <w:t xml:space="preserve">1. </w:t>
            </w:r>
            <w:r w:rsidR="00025049">
              <w:t>As appropriate</w:t>
            </w:r>
          </w:p>
        </w:tc>
      </w:tr>
    </w:tbl>
    <w:p w:rsidR="00436039" w:rsidRDefault="00D95EE9" w:rsidP="00D95EE9">
      <w:pPr>
        <w:pStyle w:val="Caption"/>
      </w:pPr>
      <w:bookmarkStart w:id="16" w:name="_Ref320004570"/>
      <w:r>
        <w:t xml:space="preserve">Table </w:t>
      </w:r>
      <w:fldSimple w:instr=" SEQ Table \* ARABIC ">
        <w:r w:rsidR="00DD5414">
          <w:rPr>
            <w:noProof/>
          </w:rPr>
          <w:t>1</w:t>
        </w:r>
      </w:fldSimple>
      <w:bookmarkEnd w:id="16"/>
    </w:p>
    <w:p w:rsidR="00B045C6" w:rsidRDefault="00B045C6" w:rsidP="00B045C6">
      <w:pPr>
        <w:pStyle w:val="Heading3"/>
      </w:pPr>
      <w:bookmarkStart w:id="17" w:name="_Toc320179194"/>
      <w:r>
        <w:t>Additional Cost Allocation Data – Submitted During Quarter One</w:t>
      </w:r>
      <w:bookmarkEnd w:id="17"/>
    </w:p>
    <w:p w:rsidR="00000000" w:rsidRDefault="00661035">
      <w:r>
        <w:t xml:space="preserve">After the </w:t>
      </w:r>
      <w:r w:rsidR="008A7863" w:rsidRPr="00A33DDA">
        <w:t xml:space="preserve">entity meets the eligibility criteria, </w:t>
      </w:r>
      <w:r>
        <w:t>they must</w:t>
      </w:r>
      <w:r w:rsidR="00770BCF">
        <w:t xml:space="preserve"> also</w:t>
      </w:r>
      <w:r>
        <w:t xml:space="preserve"> submit</w:t>
      </w:r>
      <w:r w:rsidR="002A1117">
        <w:t xml:space="preserve"> </w:t>
      </w:r>
      <w:r w:rsidR="002A1117" w:rsidRPr="00133A88">
        <w:t>during quarter one</w:t>
      </w:r>
      <w:r>
        <w:t xml:space="preserve"> </w:t>
      </w:r>
      <w:r w:rsidR="00227653">
        <w:t xml:space="preserve">the </w:t>
      </w:r>
      <w:r>
        <w:t xml:space="preserve">additional cost allocation </w:t>
      </w:r>
      <w:r w:rsidR="00770BCF">
        <w:t>data described below</w:t>
      </w:r>
      <w:r w:rsidR="008A7863" w:rsidRPr="00A33DDA">
        <w:t>. If the entity does not meet the eligibility criteria, the project sponsor may choose to correct the eligibility deficiency and re-apply for eligibility, or submit its project into the planning process but not for cost allocation</w:t>
      </w:r>
      <w:r w:rsidR="002064CD">
        <w:t xml:space="preserve"> or withdraw the project from further consideration</w:t>
      </w:r>
      <w:r w:rsidR="008A7863" w:rsidRPr="00A33DDA">
        <w:t>.</w:t>
      </w:r>
      <w:r w:rsidR="002E7A5C">
        <w:t xml:space="preserve"> The following additional cost allocation data </w:t>
      </w:r>
      <w:r w:rsidR="000A2573">
        <w:t xml:space="preserve">must be submitted by an entity submitting a project for </w:t>
      </w:r>
      <w:r w:rsidR="000A2573">
        <w:lastRenderedPageBreak/>
        <w:t xml:space="preserve">consideration in NTTG’s regional plan for selection in the regional plan for cost allocation </w:t>
      </w:r>
      <w:r w:rsidR="0018376C">
        <w:t xml:space="preserve">includes </w:t>
      </w:r>
      <w:r w:rsidR="00B654FF">
        <w:t>the data</w:t>
      </w:r>
      <w:r w:rsidR="00C74CFD">
        <w:t xml:space="preserve"> shown in </w:t>
      </w:r>
      <w:r w:rsidR="00227808">
        <w:rPr>
          <w:b/>
          <w:bCs/>
          <w:sz w:val="20"/>
          <w:szCs w:val="20"/>
        </w:rPr>
        <w:fldChar w:fldCharType="begin"/>
      </w:r>
      <w:r w:rsidR="00C74CFD">
        <w:instrText xml:space="preserve"> REF _Ref320005863 \h </w:instrText>
      </w:r>
      <w:r w:rsidR="00227808">
        <w:rPr>
          <w:b/>
          <w:bCs/>
          <w:sz w:val="20"/>
          <w:szCs w:val="20"/>
        </w:rPr>
      </w:r>
      <w:r w:rsidR="00227808">
        <w:rPr>
          <w:b/>
          <w:bCs/>
          <w:sz w:val="20"/>
          <w:szCs w:val="20"/>
        </w:rPr>
        <w:fldChar w:fldCharType="separate"/>
      </w:r>
      <w:r w:rsidR="00DD5414">
        <w:t xml:space="preserve">Table </w:t>
      </w:r>
      <w:r w:rsidR="00DD5414">
        <w:rPr>
          <w:noProof/>
        </w:rPr>
        <w:t>2</w:t>
      </w:r>
      <w:r w:rsidR="00227808">
        <w:rPr>
          <w:b/>
          <w:bCs/>
          <w:sz w:val="20"/>
          <w:szCs w:val="20"/>
        </w:rPr>
        <w:fldChar w:fldCharType="end"/>
      </w:r>
      <w:r w:rsidR="004E30CF">
        <w:t>.</w:t>
      </w:r>
      <w:r w:rsidR="004E30CF" w:rsidRPr="00113751">
        <w:t xml:space="preserve"> </w:t>
      </w:r>
      <w:r w:rsidR="00446617">
        <w:t xml:space="preserve"> </w:t>
      </w:r>
    </w:p>
    <w:tbl>
      <w:tblPr>
        <w:tblW w:w="8980" w:type="dxa"/>
        <w:tblInd w:w="98" w:type="dxa"/>
        <w:tblLook w:val="04A0"/>
      </w:tblPr>
      <w:tblGrid>
        <w:gridCol w:w="495"/>
        <w:gridCol w:w="8485"/>
      </w:tblGrid>
      <w:tr w:rsidR="00C74CFD" w:rsidRPr="00B83B13" w:rsidTr="0009350A">
        <w:trPr>
          <w:trHeight w:val="675"/>
          <w:tblHeader/>
        </w:trPr>
        <w:tc>
          <w:tcPr>
            <w:tcW w:w="8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Additional Cost Allocation Data - Submit During Quarter 1</w:t>
            </w:r>
            <w:r w:rsidRPr="00B83B13">
              <w:rPr>
                <w:rFonts w:eastAsia="Times New Roman" w:cs="Calibri"/>
                <w:color w:val="000000"/>
              </w:rPr>
              <w:br/>
              <w:t>Project Submitted for Possible Selection in Regional Transmission Plan for Cost Allocation</w:t>
            </w:r>
          </w:p>
        </w:tc>
      </w:tr>
      <w:tr w:rsidR="00C74CFD" w:rsidRPr="00B83B13" w:rsidTr="0009350A">
        <w:trPr>
          <w:trHeight w:val="6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1.</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bCs/>
                <w:color w:val="000000"/>
              </w:rPr>
              <w:t>Project sponsor name and project description (should be the same as provide on sponsor qualification data, if different provide update)</w:t>
            </w:r>
          </w:p>
        </w:tc>
      </w:tr>
      <w:tr w:rsidR="00C74CFD" w:rsidRPr="00B83B13" w:rsidTr="0009350A">
        <w:trPr>
          <w:trHeight w:val="3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2.</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bCs/>
                <w:color w:val="000000"/>
              </w:rPr>
              <w:t xml:space="preserve">Physical location </w:t>
            </w:r>
          </w:p>
        </w:tc>
      </w:tr>
      <w:tr w:rsidR="00C74CFD" w:rsidRPr="00B83B13" w:rsidTr="0009350A">
        <w:trPr>
          <w:trHeight w:val="3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3.</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bCs/>
                <w:color w:val="000000"/>
              </w:rPr>
              <w:t>Detailed Cost Estimate</w:t>
            </w:r>
          </w:p>
        </w:tc>
      </w:tr>
      <w:tr w:rsidR="00C74CFD" w:rsidRPr="00B83B13" w:rsidTr="0009350A">
        <w:trPr>
          <w:trHeight w:val="3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4.</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bCs/>
                <w:color w:val="000000"/>
              </w:rPr>
              <w:t xml:space="preserve">Cost/benefit analysis </w:t>
            </w:r>
          </w:p>
        </w:tc>
      </w:tr>
      <w:tr w:rsidR="00C74CFD" w:rsidRPr="00B83B13" w:rsidTr="0009350A">
        <w:trPr>
          <w:trHeight w:val="3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5.</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bCs/>
                <w:color w:val="000000"/>
              </w:rPr>
              <w:t xml:space="preserve">POR/POD </w:t>
            </w:r>
          </w:p>
        </w:tc>
      </w:tr>
      <w:tr w:rsidR="00C74CFD" w:rsidRPr="00B83B13" w:rsidTr="0009350A">
        <w:trPr>
          <w:trHeight w:val="3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6.</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bCs/>
                <w:color w:val="000000"/>
              </w:rPr>
              <w:t xml:space="preserve">Pertinent engineering and/or transmission studies or other reports  </w:t>
            </w:r>
          </w:p>
        </w:tc>
      </w:tr>
      <w:tr w:rsidR="00C74CFD" w:rsidRPr="00B83B13" w:rsidTr="0009350A">
        <w:trPr>
          <w:trHeight w:val="6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7.</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bCs/>
                <w:color w:val="000000"/>
              </w:rPr>
              <w:t xml:space="preserve">A copy of any WECC  or other regional, interregional or interconnection–wide planning entity economic and reliability determinations relative to the project </w:t>
            </w:r>
          </w:p>
        </w:tc>
      </w:tr>
      <w:tr w:rsidR="00C74CFD" w:rsidRPr="00B83B13" w:rsidTr="0009350A">
        <w:trPr>
          <w:trHeight w:val="3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8.</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bCs/>
                <w:color w:val="000000"/>
              </w:rPr>
              <w:t xml:space="preserve">Status of any </w:t>
            </w:r>
            <w:proofErr w:type="spellStart"/>
            <w:r w:rsidRPr="00B83B13">
              <w:rPr>
                <w:rFonts w:eastAsia="Times New Roman" w:cs="Calibri"/>
                <w:bCs/>
                <w:color w:val="000000"/>
              </w:rPr>
              <w:t>siting</w:t>
            </w:r>
            <w:proofErr w:type="spellEnd"/>
            <w:r w:rsidRPr="00B83B13">
              <w:rPr>
                <w:rFonts w:eastAsia="Times New Roman" w:cs="Calibri"/>
                <w:bCs/>
                <w:color w:val="000000"/>
              </w:rPr>
              <w:t xml:space="preserve"> process </w:t>
            </w:r>
          </w:p>
        </w:tc>
      </w:tr>
      <w:tr w:rsidR="00C74CFD" w:rsidRPr="00B83B13" w:rsidTr="0009350A">
        <w:trPr>
          <w:trHeight w:val="6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9.</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bCs/>
                <w:color w:val="000000"/>
              </w:rPr>
              <w:t xml:space="preserve">Proposed cost allocation (The sponsor should state how they would see the cost being allocated and after the modeling show a comparison of the two (ours/theirs)). </w:t>
            </w:r>
          </w:p>
        </w:tc>
      </w:tr>
      <w:tr w:rsidR="00C74CFD" w:rsidRPr="00B83B13" w:rsidTr="0009350A">
        <w:trPr>
          <w:trHeight w:val="6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10.</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bCs/>
                <w:color w:val="000000"/>
              </w:rPr>
              <w:t xml:space="preserve">Proposed Beneficiaries: (tells Cost Allocation committee what the sponsor thinks the cost recovery looks like). </w:t>
            </w:r>
          </w:p>
        </w:tc>
      </w:tr>
      <w:tr w:rsidR="00C74CFD" w:rsidRPr="00B83B13" w:rsidTr="0009350A">
        <w:trPr>
          <w:trHeight w:val="3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11.</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bCs/>
                <w:color w:val="000000"/>
              </w:rPr>
              <w:t>Proposed cost recovery, if any other than NTTG regional cost allocation.</w:t>
            </w:r>
          </w:p>
        </w:tc>
      </w:tr>
      <w:tr w:rsidR="00C74CFD" w:rsidRPr="00B83B13" w:rsidTr="0009350A">
        <w:trPr>
          <w:trHeight w:val="6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12.</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color w:val="000000"/>
              </w:rPr>
              <w:t>A risk and benefit analysis focusing on the distribution of costs, benefits and risks among the parties proposed to share in the cost allocation of the project.</w:t>
            </w:r>
          </w:p>
        </w:tc>
      </w:tr>
      <w:tr w:rsidR="00C74CFD" w:rsidRPr="00B83B13" w:rsidTr="0009350A">
        <w:trPr>
          <w:trHeight w:val="3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13.</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bCs/>
                <w:color w:val="000000"/>
              </w:rPr>
              <w:t xml:space="preserve">Proposal on dealing with cost overruns </w:t>
            </w:r>
          </w:p>
        </w:tc>
      </w:tr>
      <w:tr w:rsidR="00C74CFD" w:rsidRPr="00B83B13" w:rsidTr="0009350A">
        <w:trPr>
          <w:trHeight w:val="3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14.</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bCs/>
                <w:color w:val="000000"/>
              </w:rPr>
              <w:t>D</w:t>
            </w:r>
            <w:r w:rsidR="00E97F91">
              <w:rPr>
                <w:rFonts w:eastAsia="Times New Roman" w:cs="Calibri"/>
                <w:bCs/>
                <w:color w:val="000000"/>
              </w:rPr>
              <w:t>iscuss d</w:t>
            </w:r>
            <w:r w:rsidRPr="00B83B13">
              <w:rPr>
                <w:rFonts w:eastAsia="Times New Roman" w:cs="Calibri"/>
                <w:bCs/>
                <w:color w:val="000000"/>
              </w:rPr>
              <w:t xml:space="preserve">egree of consensus among stakeholders on all of the above </w:t>
            </w:r>
          </w:p>
        </w:tc>
      </w:tr>
      <w:tr w:rsidR="00C74CFD" w:rsidRPr="00B83B13" w:rsidTr="0009350A">
        <w:trPr>
          <w:trHeight w:val="3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15.</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bCs/>
                <w:color w:val="000000"/>
              </w:rPr>
              <w:t xml:space="preserve">How each NTTG cost allocation and Order 1000 principles are applied in the analysis </w:t>
            </w:r>
          </w:p>
        </w:tc>
      </w:tr>
      <w:tr w:rsidR="00C74CFD" w:rsidRPr="00B83B13" w:rsidTr="0009350A">
        <w:trPr>
          <w:trHeight w:val="3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16.</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bCs/>
                <w:color w:val="000000"/>
              </w:rPr>
              <w:t xml:space="preserve">A description of any regulatory rulings needed prior to examination of the project </w:t>
            </w:r>
          </w:p>
        </w:tc>
      </w:tr>
      <w:tr w:rsidR="00C74CFD" w:rsidRPr="00B83B13" w:rsidTr="0009350A">
        <w:trPr>
          <w:trHeight w:val="6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17.</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bCs/>
                <w:color w:val="000000"/>
              </w:rPr>
              <w:t xml:space="preserve">Any NTTG Planning Committee analysis pertinent to the project and a description of how it fits into the NTTG Annual or Biennial Plan </w:t>
            </w:r>
          </w:p>
        </w:tc>
      </w:tr>
      <w:tr w:rsidR="00C74CFD" w:rsidRPr="00B83B13" w:rsidTr="0009350A">
        <w:trPr>
          <w:trHeight w:val="6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18.</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color w:val="000000"/>
              </w:rPr>
              <w:t>Description of any proprietary or commercially sensitive information applicants believe should remain confidential during the review process</w:t>
            </w:r>
          </w:p>
        </w:tc>
      </w:tr>
      <w:tr w:rsidR="00C74CFD" w:rsidRPr="00B83B13" w:rsidTr="0009350A">
        <w:trPr>
          <w:trHeight w:val="300"/>
        </w:trPr>
        <w:tc>
          <w:tcPr>
            <w:tcW w:w="304" w:type="dxa"/>
            <w:tcBorders>
              <w:top w:val="nil"/>
              <w:left w:val="single" w:sz="4" w:space="0" w:color="auto"/>
              <w:bottom w:val="single" w:sz="4" w:space="0" w:color="auto"/>
              <w:right w:val="single" w:sz="4" w:space="0" w:color="auto"/>
            </w:tcBorders>
            <w:shd w:val="clear" w:color="auto" w:fill="auto"/>
            <w:noWrap/>
            <w:hideMark/>
          </w:tcPr>
          <w:p w:rsidR="00C74CFD" w:rsidRPr="00B83B13" w:rsidRDefault="00C74CFD" w:rsidP="0009350A">
            <w:pPr>
              <w:spacing w:after="0" w:line="240" w:lineRule="auto"/>
              <w:jc w:val="center"/>
              <w:rPr>
                <w:rFonts w:eastAsia="Times New Roman" w:cs="Calibri"/>
                <w:color w:val="000000"/>
              </w:rPr>
            </w:pPr>
            <w:r w:rsidRPr="00B83B13">
              <w:rPr>
                <w:rFonts w:eastAsia="Times New Roman" w:cs="Calibri"/>
                <w:color w:val="000000"/>
              </w:rPr>
              <w:t>19.</w:t>
            </w:r>
          </w:p>
        </w:tc>
        <w:tc>
          <w:tcPr>
            <w:tcW w:w="8676" w:type="dxa"/>
            <w:tcBorders>
              <w:top w:val="nil"/>
              <w:left w:val="nil"/>
              <w:bottom w:val="single" w:sz="4" w:space="0" w:color="auto"/>
              <w:right w:val="single" w:sz="4" w:space="0" w:color="auto"/>
            </w:tcBorders>
            <w:shd w:val="clear" w:color="auto" w:fill="auto"/>
            <w:hideMark/>
          </w:tcPr>
          <w:p w:rsidR="00C74CFD" w:rsidRPr="00B83B13" w:rsidRDefault="00C74CFD" w:rsidP="0009350A">
            <w:pPr>
              <w:spacing w:after="0" w:line="240" w:lineRule="auto"/>
              <w:rPr>
                <w:rFonts w:eastAsia="Times New Roman" w:cs="Calibri"/>
                <w:color w:val="000000"/>
              </w:rPr>
            </w:pPr>
            <w:r w:rsidRPr="00B83B13">
              <w:rPr>
                <w:rFonts w:eastAsia="Times New Roman" w:cs="Calibri"/>
                <w:color w:val="000000"/>
              </w:rPr>
              <w:t>Other relevant or pertinent data and information.</w:t>
            </w:r>
          </w:p>
        </w:tc>
      </w:tr>
    </w:tbl>
    <w:p w:rsidR="00000000" w:rsidRDefault="00C74CFD">
      <w:pPr>
        <w:pStyle w:val="Caption"/>
      </w:pPr>
      <w:bookmarkStart w:id="18" w:name="_Ref320005863"/>
      <w:r>
        <w:t xml:space="preserve">Table </w:t>
      </w:r>
      <w:r w:rsidR="00227808">
        <w:fldChar w:fldCharType="begin"/>
      </w:r>
      <w:r>
        <w:instrText xml:space="preserve"> SEQ Table \* ARABIC </w:instrText>
      </w:r>
      <w:r w:rsidR="00227808">
        <w:fldChar w:fldCharType="separate"/>
      </w:r>
      <w:r w:rsidR="00DD5414">
        <w:rPr>
          <w:noProof/>
        </w:rPr>
        <w:t>2</w:t>
      </w:r>
      <w:r w:rsidR="00227808">
        <w:fldChar w:fldCharType="end"/>
      </w:r>
      <w:bookmarkEnd w:id="18"/>
    </w:p>
    <w:p w:rsidR="001D4D1C" w:rsidRDefault="00B612DD">
      <w:pPr>
        <w:pStyle w:val="Heading3"/>
      </w:pPr>
      <w:r>
        <w:br w:type="page"/>
      </w:r>
      <w:bookmarkStart w:id="19" w:name="_Toc320179195"/>
      <w:r w:rsidR="00D8046D" w:rsidRPr="00A10BE9">
        <w:lastRenderedPageBreak/>
        <w:t>Timeline for Submission</w:t>
      </w:r>
      <w:bookmarkEnd w:id="19"/>
      <w:r w:rsidR="004E30CF" w:rsidRPr="00A10BE9">
        <w:t xml:space="preserve"> </w:t>
      </w:r>
    </w:p>
    <w:p w:rsidR="00B045C6" w:rsidRDefault="00227808" w:rsidP="00B045C6">
      <w:r>
        <w:fldChar w:fldCharType="begin"/>
      </w:r>
      <w:r w:rsidR="00B30545">
        <w:instrText xml:space="preserve"> REF _Ref317654895 \h </w:instrText>
      </w:r>
      <w:r>
        <w:fldChar w:fldCharType="separate"/>
      </w:r>
      <w:r w:rsidR="00DD5414">
        <w:t xml:space="preserve">Figure </w:t>
      </w:r>
      <w:r w:rsidR="00DD5414">
        <w:rPr>
          <w:noProof/>
        </w:rPr>
        <w:t>4</w:t>
      </w:r>
      <w:r>
        <w:fldChar w:fldCharType="end"/>
      </w:r>
      <w:r w:rsidR="00B045C6">
        <w:t xml:space="preserve"> provides</w:t>
      </w:r>
      <w:r w:rsidR="004E30CF">
        <w:t xml:space="preserve"> the timeline for collection the </w:t>
      </w:r>
      <w:r w:rsidR="008B7A1F">
        <w:t xml:space="preserve">information </w:t>
      </w:r>
      <w:r w:rsidR="00B045C6">
        <w:t xml:space="preserve">for projects that desire to be considered for selection in the regional plan for cost allocation.  </w:t>
      </w:r>
      <w:r w:rsidR="009C4D10">
        <w:t xml:space="preserve"> </w:t>
      </w:r>
    </w:p>
    <w:p w:rsidR="00B906D1" w:rsidRDefault="007A48D7" w:rsidP="00FB47A3">
      <w:pPr>
        <w:jc w:val="center"/>
      </w:pPr>
      <w:r>
        <w:pict>
          <v:shape id="_x0000_i1027" type="#_x0000_t75" style="width:467.3pt;height:249.3pt">
            <v:imagedata r:id="rId11" o:title=""/>
          </v:shape>
        </w:pict>
      </w:r>
    </w:p>
    <w:p w:rsidR="006C3214" w:rsidRDefault="006C3214" w:rsidP="00FB47A3">
      <w:pPr>
        <w:pStyle w:val="Caption"/>
        <w:ind w:firstLine="180"/>
      </w:pPr>
      <w:bookmarkStart w:id="20" w:name="_Ref317654895"/>
      <w:r>
        <w:t xml:space="preserve">Figure </w:t>
      </w:r>
      <w:fldSimple w:instr=" SEQ Figure \* ARABIC ">
        <w:r w:rsidR="00DD5414">
          <w:rPr>
            <w:noProof/>
          </w:rPr>
          <w:t>4</w:t>
        </w:r>
      </w:fldSimple>
      <w:bookmarkEnd w:id="20"/>
    </w:p>
    <w:p w:rsidR="00B906D1" w:rsidRDefault="00FA4F5D" w:rsidP="00FF5C5A">
      <w:pPr>
        <w:pStyle w:val="Heading2"/>
      </w:pPr>
      <w:bookmarkStart w:id="21" w:name="_Toc320179196"/>
      <w:r>
        <w:t xml:space="preserve">Regional </w:t>
      </w:r>
      <w:r w:rsidR="00D8046D">
        <w:t>Public Policy</w:t>
      </w:r>
      <w:r w:rsidR="009717FE">
        <w:t xml:space="preserve"> </w:t>
      </w:r>
      <w:r w:rsidR="000E6AD0">
        <w:t xml:space="preserve">Need </w:t>
      </w:r>
      <w:r w:rsidR="009717FE">
        <w:t>Information &amp; Data</w:t>
      </w:r>
      <w:r w:rsidR="00D8046D">
        <w:t xml:space="preserve"> </w:t>
      </w:r>
      <w:r w:rsidR="002A6922">
        <w:t>Submission</w:t>
      </w:r>
      <w:bookmarkEnd w:id="21"/>
    </w:p>
    <w:p w:rsidR="002916DF" w:rsidRDefault="000B52F3" w:rsidP="004732E8">
      <w:pPr>
        <w:spacing w:after="120"/>
        <w:rPr>
          <w:rFonts w:cs="Arial"/>
          <w:bCs/>
        </w:rPr>
      </w:pPr>
      <w:r w:rsidRPr="00AB3C11">
        <w:rPr>
          <w:rFonts w:cs="Arial"/>
          <w:bCs/>
        </w:rPr>
        <w:t xml:space="preserve">NTTG </w:t>
      </w:r>
      <w:r w:rsidR="006C6DFD">
        <w:rPr>
          <w:rFonts w:cs="Arial"/>
          <w:bCs/>
        </w:rPr>
        <w:t>R</w:t>
      </w:r>
      <w:r w:rsidRPr="00AB3C11">
        <w:rPr>
          <w:rFonts w:cs="Arial"/>
          <w:bCs/>
        </w:rPr>
        <w:t xml:space="preserve">egional </w:t>
      </w:r>
      <w:r w:rsidR="006C6DFD">
        <w:rPr>
          <w:rFonts w:cs="Arial"/>
          <w:bCs/>
        </w:rPr>
        <w:t>Transmission P</w:t>
      </w:r>
      <w:r w:rsidRPr="00AB3C11">
        <w:rPr>
          <w:rFonts w:cs="Arial"/>
          <w:bCs/>
        </w:rPr>
        <w:t xml:space="preserve">lan will include only public policy </w:t>
      </w:r>
      <w:r w:rsidR="000E6AD0">
        <w:rPr>
          <w:rFonts w:cs="Arial"/>
          <w:bCs/>
        </w:rPr>
        <w:t xml:space="preserve">needs </w:t>
      </w:r>
      <w:r w:rsidRPr="00AB3C11">
        <w:rPr>
          <w:rFonts w:cs="Arial"/>
          <w:bCs/>
        </w:rPr>
        <w:t xml:space="preserve">that are </w:t>
      </w:r>
      <w:r w:rsidR="00FB47A3">
        <w:rPr>
          <w:rFonts w:cs="Arial"/>
          <w:bCs/>
        </w:rPr>
        <w:t>driven</w:t>
      </w:r>
      <w:r w:rsidR="00FB47A3" w:rsidRPr="00AB3C11">
        <w:rPr>
          <w:rFonts w:cs="Arial"/>
          <w:bCs/>
        </w:rPr>
        <w:t xml:space="preserve"> </w:t>
      </w:r>
      <w:r w:rsidRPr="00AB3C11">
        <w:rPr>
          <w:rFonts w:cs="Arial"/>
          <w:bCs/>
        </w:rPr>
        <w:t>by state or federal law or regul</w:t>
      </w:r>
      <w:r w:rsidR="007C1FE4" w:rsidRPr="00AB3C11">
        <w:rPr>
          <w:rFonts w:cs="Arial"/>
          <w:bCs/>
        </w:rPr>
        <w:t>ations</w:t>
      </w:r>
      <w:r w:rsidR="00FB47A3">
        <w:rPr>
          <w:rFonts w:cs="Arial"/>
          <w:bCs/>
        </w:rPr>
        <w:t>. However</w:t>
      </w:r>
      <w:r w:rsidR="000E6AD0">
        <w:rPr>
          <w:rFonts w:cs="Arial"/>
          <w:bCs/>
        </w:rPr>
        <w:t xml:space="preserve">, </w:t>
      </w:r>
      <w:r w:rsidR="00FB47A3">
        <w:rPr>
          <w:rFonts w:cs="Arial"/>
          <w:bCs/>
        </w:rPr>
        <w:t xml:space="preserve">NTTG may consider </w:t>
      </w:r>
      <w:r w:rsidR="000E6AD0">
        <w:rPr>
          <w:rFonts w:cs="Arial"/>
          <w:bCs/>
        </w:rPr>
        <w:t xml:space="preserve">scenario analysis </w:t>
      </w:r>
      <w:r w:rsidR="00FB47A3">
        <w:rPr>
          <w:rFonts w:cs="Arial"/>
          <w:bCs/>
        </w:rPr>
        <w:t xml:space="preserve">for </w:t>
      </w:r>
      <w:r w:rsidR="000E6AD0">
        <w:rPr>
          <w:rFonts w:cs="Arial"/>
          <w:bCs/>
        </w:rPr>
        <w:t xml:space="preserve">other public policy considerations as </w:t>
      </w:r>
      <w:r w:rsidR="00FB47A3">
        <w:rPr>
          <w:rFonts w:cs="Arial"/>
          <w:bCs/>
        </w:rPr>
        <w:t xml:space="preserve">agreed to during the development of </w:t>
      </w:r>
      <w:r w:rsidR="000E6AD0">
        <w:rPr>
          <w:rFonts w:cs="Arial"/>
          <w:bCs/>
        </w:rPr>
        <w:t>the biennial study plan</w:t>
      </w:r>
      <w:r w:rsidR="00FB47A3">
        <w:rPr>
          <w:rFonts w:cs="Arial"/>
          <w:bCs/>
        </w:rPr>
        <w:t xml:space="preserve"> and approved by NTTG Steering Committee</w:t>
      </w:r>
      <w:r w:rsidR="007C1FE4" w:rsidRPr="00AB3C11">
        <w:rPr>
          <w:rFonts w:cs="Arial"/>
          <w:bCs/>
        </w:rPr>
        <w:t>.</w:t>
      </w:r>
      <w:r w:rsidR="00AB3C11" w:rsidRPr="00AB3C11">
        <w:rPr>
          <w:rFonts w:cs="Arial"/>
          <w:bCs/>
        </w:rPr>
        <w:t xml:space="preserve"> </w:t>
      </w:r>
    </w:p>
    <w:p w:rsidR="00A54622" w:rsidRDefault="000B52F3" w:rsidP="004732E8">
      <w:pPr>
        <w:spacing w:after="120"/>
      </w:pPr>
      <w:r w:rsidRPr="00AB3C11">
        <w:rPr>
          <w:rFonts w:cs="Arial"/>
          <w:bCs/>
        </w:rPr>
        <w:t xml:space="preserve">NTTG will gather public policy </w:t>
      </w:r>
      <w:r w:rsidR="000E6AD0">
        <w:rPr>
          <w:rFonts w:cs="Arial"/>
          <w:bCs/>
        </w:rPr>
        <w:t xml:space="preserve">need </w:t>
      </w:r>
      <w:r w:rsidR="00937D61">
        <w:rPr>
          <w:rFonts w:cs="Arial"/>
          <w:bCs/>
        </w:rPr>
        <w:t>data</w:t>
      </w:r>
      <w:r w:rsidRPr="00AB3C11">
        <w:rPr>
          <w:rFonts w:cs="Arial"/>
          <w:bCs/>
        </w:rPr>
        <w:t xml:space="preserve"> from the transmission providers </w:t>
      </w:r>
      <w:r w:rsidR="00AB3C11">
        <w:rPr>
          <w:rFonts w:cs="Arial"/>
          <w:bCs/>
        </w:rPr>
        <w:t xml:space="preserve">using </w:t>
      </w:r>
      <w:r w:rsidR="000E6AD0">
        <w:rPr>
          <w:rFonts w:cs="Arial"/>
          <w:bCs/>
        </w:rPr>
        <w:t>a</w:t>
      </w:r>
      <w:r w:rsidR="00103796" w:rsidRPr="00AB3C11">
        <w:rPr>
          <w:rFonts w:cs="Arial"/>
          <w:bCs/>
        </w:rPr>
        <w:t xml:space="preserve"> bottom up approach</w:t>
      </w:r>
      <w:r w:rsidR="0005679A">
        <w:rPr>
          <w:rFonts w:cs="Arial"/>
          <w:bCs/>
        </w:rPr>
        <w:t xml:space="preserve"> through</w:t>
      </w:r>
      <w:r w:rsidR="00103796" w:rsidRPr="00AB3C11">
        <w:rPr>
          <w:rFonts w:cs="Arial"/>
          <w:bCs/>
        </w:rPr>
        <w:t xml:space="preserve"> </w:t>
      </w:r>
      <w:r w:rsidR="00937D61">
        <w:rPr>
          <w:rFonts w:cs="Arial"/>
          <w:bCs/>
        </w:rPr>
        <w:t xml:space="preserve">their </w:t>
      </w:r>
      <w:r w:rsidR="00103796" w:rsidRPr="00AB3C11">
        <w:rPr>
          <w:rFonts w:cs="Arial"/>
          <w:bCs/>
        </w:rPr>
        <w:t xml:space="preserve">transmission plan </w:t>
      </w:r>
      <w:r w:rsidR="00AB3C11">
        <w:rPr>
          <w:rFonts w:cs="Arial"/>
          <w:bCs/>
        </w:rPr>
        <w:t>information and data</w:t>
      </w:r>
      <w:r w:rsidR="003E56F0">
        <w:rPr>
          <w:rFonts w:cs="Arial"/>
          <w:bCs/>
        </w:rPr>
        <w:t xml:space="preserve"> during quarter one</w:t>
      </w:r>
      <w:r w:rsidR="006E1233">
        <w:rPr>
          <w:rFonts w:cs="Arial"/>
          <w:bCs/>
        </w:rPr>
        <w:t xml:space="preserve">. </w:t>
      </w:r>
      <w:r w:rsidR="007C1FE4" w:rsidRPr="00AB3C11">
        <w:rPr>
          <w:rFonts w:cs="Arial"/>
          <w:bCs/>
        </w:rPr>
        <w:t xml:space="preserve">Stakeholders may </w:t>
      </w:r>
      <w:r w:rsidR="003E56F0">
        <w:rPr>
          <w:rFonts w:cs="Arial"/>
          <w:bCs/>
        </w:rPr>
        <w:t xml:space="preserve">also </w:t>
      </w:r>
      <w:r w:rsidR="007C1FE4" w:rsidRPr="00AB3C11">
        <w:rPr>
          <w:rFonts w:cs="Arial"/>
          <w:bCs/>
        </w:rPr>
        <w:t>submit public policy</w:t>
      </w:r>
      <w:r w:rsidR="000E6AD0">
        <w:rPr>
          <w:rFonts w:cs="Arial"/>
          <w:bCs/>
        </w:rPr>
        <w:t xml:space="preserve"> needs</w:t>
      </w:r>
      <w:r w:rsidR="007C1FE4" w:rsidRPr="00AB3C11">
        <w:rPr>
          <w:rFonts w:cs="Arial"/>
          <w:bCs/>
        </w:rPr>
        <w:t xml:space="preserve"> </w:t>
      </w:r>
      <w:r w:rsidR="00AB3C11">
        <w:rPr>
          <w:rFonts w:cs="Arial"/>
          <w:bCs/>
        </w:rPr>
        <w:t xml:space="preserve">and any associated transmission </w:t>
      </w:r>
      <w:r w:rsidR="00AB3C11" w:rsidRPr="00AB3C11">
        <w:rPr>
          <w:rFonts w:cs="Arial"/>
          <w:bCs/>
        </w:rPr>
        <w:t xml:space="preserve">that are required by </w:t>
      </w:r>
      <w:r w:rsidR="00937D61">
        <w:rPr>
          <w:rFonts w:cs="Arial"/>
          <w:bCs/>
        </w:rPr>
        <w:t xml:space="preserve">existing or potential future </w:t>
      </w:r>
      <w:r w:rsidR="00AB3C11" w:rsidRPr="00AB3C11">
        <w:rPr>
          <w:rFonts w:cs="Arial"/>
          <w:bCs/>
        </w:rPr>
        <w:t xml:space="preserve">state or federal laws using </w:t>
      </w:r>
      <w:r w:rsidR="00103796" w:rsidRPr="00AB3C11">
        <w:rPr>
          <w:rFonts w:cs="Arial"/>
          <w:bCs/>
        </w:rPr>
        <w:t xml:space="preserve">NTTG </w:t>
      </w:r>
      <w:r w:rsidR="00AB3C11" w:rsidRPr="00AB3C11">
        <w:rPr>
          <w:rFonts w:cs="Arial"/>
          <w:bCs/>
        </w:rPr>
        <w:t xml:space="preserve">quarter </w:t>
      </w:r>
      <w:r w:rsidR="00DB3AEC">
        <w:rPr>
          <w:rFonts w:cs="Arial"/>
          <w:bCs/>
        </w:rPr>
        <w:t>one</w:t>
      </w:r>
      <w:r w:rsidR="003E56F0">
        <w:rPr>
          <w:rFonts w:cs="Arial"/>
          <w:bCs/>
        </w:rPr>
        <w:t xml:space="preserve"> data</w:t>
      </w:r>
      <w:r w:rsidR="00AB3C11">
        <w:rPr>
          <w:rFonts w:cs="Arial"/>
          <w:bCs/>
        </w:rPr>
        <w:t xml:space="preserve"> </w:t>
      </w:r>
      <w:r w:rsidR="00103796" w:rsidRPr="00AB3C11">
        <w:rPr>
          <w:rFonts w:cs="Arial"/>
          <w:bCs/>
        </w:rPr>
        <w:t xml:space="preserve">submittal </w:t>
      </w:r>
      <w:r w:rsidR="00AB3C11" w:rsidRPr="00AB3C11">
        <w:rPr>
          <w:rFonts w:cs="Arial"/>
          <w:bCs/>
        </w:rPr>
        <w:t xml:space="preserve">process </w:t>
      </w:r>
      <w:r w:rsidR="003E56F0" w:rsidRPr="00AB3C11">
        <w:rPr>
          <w:rFonts w:cs="Arial"/>
          <w:bCs/>
        </w:rPr>
        <w:t>with</w:t>
      </w:r>
      <w:r w:rsidR="00AB3C11" w:rsidRPr="00AB3C11">
        <w:rPr>
          <w:rFonts w:cs="Arial"/>
          <w:bCs/>
        </w:rPr>
        <w:t xml:space="preserve"> </w:t>
      </w:r>
      <w:r w:rsidR="00A3562F" w:rsidRPr="00A3562F">
        <w:rPr>
          <w:rFonts w:cs="Arial"/>
          <w:bCs/>
          <w:highlight w:val="yellow"/>
        </w:rPr>
        <w:t xml:space="preserve">NTTG’s </w:t>
      </w:r>
      <w:r w:rsidR="00A3562F" w:rsidRPr="00A3562F">
        <w:rPr>
          <w:highlight w:val="yellow"/>
        </w:rPr>
        <w:t>data request form as specified in the transmission provider’s link document as URL http://nttg.biz/site/index.php?option=com_docman&amp;task=cat_view&amp;gid=350&amp;Itemid=31.</w:t>
      </w:r>
      <w:r w:rsidR="00AB3C11">
        <w:t xml:space="preserve"> </w:t>
      </w:r>
      <w:r w:rsidR="00A3562F" w:rsidRPr="00A3562F">
        <w:rPr>
          <w:highlight w:val="green"/>
        </w:rPr>
        <w:t>[NOTE: MUST ADJUST THE DATA SUBMITTAL FOR TO INCLUDE ONE ADDITIONAL TAB FOR PUBLIC POLICY REQUIREMENTS. THE ASSOCIATED TRANSMISSION CAN BE SUBMITTED USING THE TRANSMISSION TAB.]</w:t>
      </w:r>
      <w:r w:rsidR="00A54622">
        <w:t xml:space="preserve"> NTTG’s </w:t>
      </w:r>
      <w:r w:rsidR="00AB3C11">
        <w:t xml:space="preserve">regional data submittal </w:t>
      </w:r>
      <w:r w:rsidR="00103796" w:rsidRPr="00AB3C11">
        <w:rPr>
          <w:rFonts w:cs="Arial"/>
          <w:bCs/>
        </w:rPr>
        <w:t xml:space="preserve">process allows </w:t>
      </w:r>
      <w:r w:rsidR="00103796" w:rsidRPr="00AB3C11">
        <w:t xml:space="preserve">any stakeholder to submit </w:t>
      </w:r>
      <w:r w:rsidR="00BD46D6" w:rsidRPr="00AB3C11">
        <w:t xml:space="preserve">directly </w:t>
      </w:r>
      <w:r w:rsidR="00AB3C11">
        <w:t xml:space="preserve">to the transmission provider or </w:t>
      </w:r>
      <w:r w:rsidR="00BD46D6" w:rsidRPr="00AB3C11">
        <w:t xml:space="preserve">NTTG </w:t>
      </w:r>
      <w:r w:rsidR="00AB3C11">
        <w:t xml:space="preserve">with copy to the transmission provider </w:t>
      </w:r>
      <w:r w:rsidR="00BD46D6" w:rsidRPr="00AB3C11">
        <w:t xml:space="preserve">any </w:t>
      </w:r>
      <w:r w:rsidR="00A54622">
        <w:t xml:space="preserve">data, including </w:t>
      </w:r>
      <w:r w:rsidR="00103796" w:rsidRPr="00AB3C11">
        <w:t xml:space="preserve">regional public policy </w:t>
      </w:r>
      <w:r w:rsidR="000E6AD0">
        <w:t xml:space="preserve">needs </w:t>
      </w:r>
      <w:r w:rsidR="00103796" w:rsidRPr="00AB3C11">
        <w:t>data and associated transmission solutions</w:t>
      </w:r>
      <w:r w:rsidR="00BD46D6" w:rsidRPr="00AB3C11">
        <w:t xml:space="preserve">. </w:t>
      </w:r>
    </w:p>
    <w:p w:rsidR="006518CB" w:rsidRDefault="00937D61" w:rsidP="005A132A">
      <w:pPr>
        <w:pStyle w:val="Heading3"/>
      </w:pPr>
      <w:bookmarkStart w:id="22" w:name="_Toc320179197"/>
      <w:r>
        <w:lastRenderedPageBreak/>
        <w:t xml:space="preserve">Selecting the </w:t>
      </w:r>
      <w:r w:rsidR="00C538E0">
        <w:t xml:space="preserve">Public Policy </w:t>
      </w:r>
      <w:r w:rsidR="00911760">
        <w:t xml:space="preserve">Needs </w:t>
      </w:r>
      <w:r>
        <w:t xml:space="preserve">to be used in </w:t>
      </w:r>
      <w:r w:rsidR="004A5058">
        <w:t xml:space="preserve">the </w:t>
      </w:r>
      <w:r>
        <w:t>Regional Transmission Plan</w:t>
      </w:r>
      <w:bookmarkEnd w:id="22"/>
    </w:p>
    <w:p w:rsidR="00BE699C" w:rsidRDefault="00D15B17" w:rsidP="004732E8">
      <w:pPr>
        <w:spacing w:after="120"/>
        <w:rPr>
          <w:rFonts w:cs="Arial"/>
          <w:bCs/>
        </w:rPr>
      </w:pPr>
      <w:r>
        <w:rPr>
          <w:rFonts w:cs="Arial"/>
          <w:bCs/>
        </w:rPr>
        <w:t xml:space="preserve">NTTG process </w:t>
      </w:r>
      <w:r w:rsidR="00EB259A">
        <w:rPr>
          <w:rFonts w:cs="Arial"/>
          <w:bCs/>
        </w:rPr>
        <w:t>receives</w:t>
      </w:r>
      <w:r>
        <w:rPr>
          <w:rFonts w:cs="Arial"/>
          <w:bCs/>
        </w:rPr>
        <w:t xml:space="preserve"> public policy</w:t>
      </w:r>
      <w:r w:rsidR="000E6AD0">
        <w:rPr>
          <w:rFonts w:cs="Arial"/>
          <w:bCs/>
        </w:rPr>
        <w:t xml:space="preserve"> need</w:t>
      </w:r>
      <w:r>
        <w:rPr>
          <w:rFonts w:cs="Arial"/>
          <w:bCs/>
        </w:rPr>
        <w:t xml:space="preserve"> information </w:t>
      </w:r>
      <w:r w:rsidR="00EB259A">
        <w:rPr>
          <w:rFonts w:cs="Arial"/>
          <w:bCs/>
        </w:rPr>
        <w:t xml:space="preserve">and </w:t>
      </w:r>
      <w:r>
        <w:rPr>
          <w:rFonts w:cs="Arial"/>
          <w:bCs/>
        </w:rPr>
        <w:t>data from</w:t>
      </w:r>
      <w:r w:rsidR="00BC3603">
        <w:rPr>
          <w:rFonts w:cs="Arial"/>
          <w:bCs/>
        </w:rPr>
        <w:t xml:space="preserve"> the</w:t>
      </w:r>
      <w:r>
        <w:rPr>
          <w:rFonts w:cs="Arial"/>
          <w:bCs/>
        </w:rPr>
        <w:t xml:space="preserve"> local transmission plans and stakeholders during the quarter one data submittal period</w:t>
      </w:r>
      <w:r w:rsidR="00DE676B">
        <w:rPr>
          <w:rFonts w:cs="Arial"/>
          <w:bCs/>
        </w:rPr>
        <w:t xml:space="preserve"> that </w:t>
      </w:r>
      <w:r w:rsidR="000E6AD0">
        <w:rPr>
          <w:rFonts w:cs="Arial"/>
          <w:bCs/>
        </w:rPr>
        <w:t>creat</w:t>
      </w:r>
      <w:r w:rsidR="002916DF">
        <w:rPr>
          <w:rFonts w:cs="Arial"/>
          <w:bCs/>
        </w:rPr>
        <w:t>e</w:t>
      </w:r>
      <w:r w:rsidR="00DE676B">
        <w:rPr>
          <w:rFonts w:cs="Arial"/>
          <w:bCs/>
        </w:rPr>
        <w:t>s</w:t>
      </w:r>
      <w:r w:rsidR="000E6AD0">
        <w:rPr>
          <w:rFonts w:cs="Arial"/>
          <w:bCs/>
        </w:rPr>
        <w:t xml:space="preserve"> a public policy needs data pool</w:t>
      </w:r>
      <w:r>
        <w:rPr>
          <w:rFonts w:cs="Arial"/>
          <w:bCs/>
        </w:rPr>
        <w:t xml:space="preserve">. From this </w:t>
      </w:r>
      <w:r w:rsidR="00EB259A">
        <w:rPr>
          <w:rFonts w:cs="Arial"/>
          <w:bCs/>
        </w:rPr>
        <w:t xml:space="preserve">public policy </w:t>
      </w:r>
      <w:r w:rsidR="00322596">
        <w:rPr>
          <w:rFonts w:cs="Arial"/>
          <w:bCs/>
        </w:rPr>
        <w:t xml:space="preserve">needs </w:t>
      </w:r>
      <w:r w:rsidR="00EB259A">
        <w:rPr>
          <w:rFonts w:cs="Arial"/>
          <w:bCs/>
        </w:rPr>
        <w:t xml:space="preserve">data </w:t>
      </w:r>
      <w:r>
        <w:rPr>
          <w:rFonts w:cs="Arial"/>
          <w:bCs/>
        </w:rPr>
        <w:t>pool</w:t>
      </w:r>
      <w:r w:rsidR="00EB259A">
        <w:rPr>
          <w:rFonts w:cs="Arial"/>
          <w:bCs/>
        </w:rPr>
        <w:t>,</w:t>
      </w:r>
      <w:r>
        <w:rPr>
          <w:rFonts w:cs="Arial"/>
          <w:bCs/>
        </w:rPr>
        <w:t xml:space="preserve"> </w:t>
      </w:r>
      <w:r w:rsidR="00EB259A">
        <w:rPr>
          <w:rFonts w:cs="Arial"/>
          <w:bCs/>
        </w:rPr>
        <w:t xml:space="preserve">the </w:t>
      </w:r>
      <w:r>
        <w:rPr>
          <w:rFonts w:cs="Arial"/>
          <w:bCs/>
        </w:rPr>
        <w:t xml:space="preserve">public policy </w:t>
      </w:r>
      <w:r w:rsidR="00BC3603">
        <w:rPr>
          <w:rFonts w:cs="Arial"/>
          <w:bCs/>
        </w:rPr>
        <w:t xml:space="preserve">needs </w:t>
      </w:r>
      <w:r w:rsidR="000E6AD0">
        <w:rPr>
          <w:rFonts w:cs="Arial"/>
          <w:bCs/>
        </w:rPr>
        <w:t xml:space="preserve">for </w:t>
      </w:r>
      <w:r w:rsidR="00EB259A">
        <w:rPr>
          <w:rFonts w:cs="Arial"/>
          <w:bCs/>
        </w:rPr>
        <w:t xml:space="preserve">the </w:t>
      </w:r>
      <w:r w:rsidR="000E6AD0">
        <w:rPr>
          <w:rFonts w:cs="Arial"/>
          <w:bCs/>
        </w:rPr>
        <w:t xml:space="preserve">ensuing </w:t>
      </w:r>
      <w:r w:rsidR="00EB259A">
        <w:rPr>
          <w:rFonts w:cs="Arial"/>
          <w:bCs/>
        </w:rPr>
        <w:t xml:space="preserve">biennial plan will be </w:t>
      </w:r>
      <w:r w:rsidR="00DE676B">
        <w:rPr>
          <w:rFonts w:cs="Arial"/>
          <w:bCs/>
        </w:rPr>
        <w:t>determined</w:t>
      </w:r>
      <w:r w:rsidR="00EB259A">
        <w:rPr>
          <w:rFonts w:cs="Arial"/>
          <w:bCs/>
        </w:rPr>
        <w:t xml:space="preserve"> </w:t>
      </w:r>
      <w:r w:rsidR="00BC3603">
        <w:rPr>
          <w:rFonts w:cs="Arial"/>
          <w:bCs/>
        </w:rPr>
        <w:t xml:space="preserve">during the </w:t>
      </w:r>
      <w:r w:rsidR="00EB259A">
        <w:rPr>
          <w:rFonts w:cs="Arial"/>
          <w:bCs/>
        </w:rPr>
        <w:t xml:space="preserve">quarter two </w:t>
      </w:r>
      <w:r w:rsidR="00BC3603">
        <w:rPr>
          <w:rFonts w:cs="Arial"/>
          <w:bCs/>
        </w:rPr>
        <w:t>study plan development</w:t>
      </w:r>
      <w:r w:rsidR="000E6AD0">
        <w:rPr>
          <w:rFonts w:cs="Arial"/>
          <w:bCs/>
        </w:rPr>
        <w:t>.  Th</w:t>
      </w:r>
      <w:r w:rsidR="00DE676B">
        <w:rPr>
          <w:rFonts w:cs="Arial"/>
          <w:bCs/>
        </w:rPr>
        <w:t>e</w:t>
      </w:r>
      <w:r w:rsidR="000E6AD0">
        <w:rPr>
          <w:rFonts w:cs="Arial"/>
          <w:bCs/>
        </w:rPr>
        <w:t xml:space="preserve"> </w:t>
      </w:r>
      <w:r w:rsidR="00DE676B">
        <w:rPr>
          <w:rFonts w:cs="Arial"/>
          <w:bCs/>
        </w:rPr>
        <w:t xml:space="preserve">resulting </w:t>
      </w:r>
      <w:r w:rsidR="000E6AD0">
        <w:rPr>
          <w:rFonts w:cs="Arial"/>
          <w:bCs/>
        </w:rPr>
        <w:t xml:space="preserve">regional public policy needs will be </w:t>
      </w:r>
      <w:r w:rsidR="00BE699C">
        <w:rPr>
          <w:rFonts w:cs="Arial"/>
          <w:bCs/>
        </w:rPr>
        <w:t>approved</w:t>
      </w:r>
      <w:r w:rsidR="00322596">
        <w:rPr>
          <w:rFonts w:cs="Arial"/>
          <w:bCs/>
        </w:rPr>
        <w:t xml:space="preserve"> </w:t>
      </w:r>
      <w:r w:rsidR="000E6AD0">
        <w:rPr>
          <w:rFonts w:cs="Arial"/>
          <w:bCs/>
        </w:rPr>
        <w:t xml:space="preserve">by the NTTG Steering Committee </w:t>
      </w:r>
      <w:r w:rsidR="009D0AC4">
        <w:rPr>
          <w:rFonts w:cs="Arial"/>
          <w:bCs/>
        </w:rPr>
        <w:t xml:space="preserve">as part of the study plan </w:t>
      </w:r>
      <w:r w:rsidR="000E6AD0">
        <w:rPr>
          <w:rFonts w:cs="Arial"/>
          <w:bCs/>
        </w:rPr>
        <w:t xml:space="preserve">approval </w:t>
      </w:r>
      <w:r w:rsidR="00A3562F" w:rsidRPr="00636F63">
        <w:rPr>
          <w:rFonts w:cs="Arial"/>
          <w:bCs/>
        </w:rPr>
        <w:t>at the end of quarter two</w:t>
      </w:r>
      <w:r w:rsidR="00EB259A">
        <w:rPr>
          <w:rFonts w:cs="Arial"/>
          <w:bCs/>
        </w:rPr>
        <w:t xml:space="preserve">. Once </w:t>
      </w:r>
      <w:r w:rsidR="00DE676B">
        <w:rPr>
          <w:rFonts w:cs="Arial"/>
          <w:bCs/>
        </w:rPr>
        <w:t>approved</w:t>
      </w:r>
      <w:r w:rsidR="00EB259A">
        <w:rPr>
          <w:rFonts w:cs="Arial"/>
          <w:bCs/>
        </w:rPr>
        <w:t xml:space="preserve">, the </w:t>
      </w:r>
      <w:r w:rsidR="000E6AD0">
        <w:rPr>
          <w:rFonts w:cs="Arial"/>
          <w:bCs/>
        </w:rPr>
        <w:t xml:space="preserve">regional </w:t>
      </w:r>
      <w:r w:rsidR="00EB259A">
        <w:rPr>
          <w:rFonts w:cs="Arial"/>
          <w:bCs/>
        </w:rPr>
        <w:t xml:space="preserve">public policy </w:t>
      </w:r>
      <w:r w:rsidR="00BC3603">
        <w:rPr>
          <w:rFonts w:cs="Arial"/>
          <w:bCs/>
        </w:rPr>
        <w:t>needs</w:t>
      </w:r>
      <w:r w:rsidR="00EB259A">
        <w:rPr>
          <w:rFonts w:cs="Arial"/>
          <w:bCs/>
        </w:rPr>
        <w:t xml:space="preserve"> will not be revised during the study process </w:t>
      </w:r>
      <w:r w:rsidR="000E6AD0">
        <w:rPr>
          <w:rFonts w:cs="Arial"/>
          <w:bCs/>
        </w:rPr>
        <w:t>that</w:t>
      </w:r>
      <w:r w:rsidR="00DE676B">
        <w:rPr>
          <w:rFonts w:cs="Arial"/>
          <w:bCs/>
        </w:rPr>
        <w:t xml:space="preserve"> ultimately</w:t>
      </w:r>
      <w:r w:rsidR="000E6AD0">
        <w:rPr>
          <w:rFonts w:cs="Arial"/>
          <w:bCs/>
        </w:rPr>
        <w:t xml:space="preserve"> develops the NTTG </w:t>
      </w:r>
      <w:r w:rsidR="004A5058">
        <w:rPr>
          <w:rFonts w:cs="Arial"/>
          <w:bCs/>
        </w:rPr>
        <w:t xml:space="preserve">Regional Transmission Plan </w:t>
      </w:r>
      <w:r w:rsidR="00EB259A">
        <w:rPr>
          <w:rFonts w:cs="Arial"/>
          <w:bCs/>
        </w:rPr>
        <w:t xml:space="preserve">unless unforeseen circumstances require a </w:t>
      </w:r>
      <w:r w:rsidR="000E6AD0">
        <w:rPr>
          <w:rFonts w:cs="Arial"/>
          <w:bCs/>
        </w:rPr>
        <w:t>modification to the approved public policy needs.  In this instance, stakeholders will be consulted before the approved public policy needs are modified</w:t>
      </w:r>
      <w:r w:rsidR="00DE676B">
        <w:rPr>
          <w:rFonts w:cs="Arial"/>
          <w:bCs/>
        </w:rPr>
        <w:t xml:space="preserve"> and then approved by NTTG’s Steering Committee</w:t>
      </w:r>
      <w:r w:rsidR="00EB259A">
        <w:rPr>
          <w:rFonts w:cs="Arial"/>
          <w:bCs/>
        </w:rPr>
        <w:t xml:space="preserve">. </w:t>
      </w:r>
    </w:p>
    <w:p w:rsidR="00937D61" w:rsidRDefault="00227808" w:rsidP="004732E8">
      <w:pPr>
        <w:spacing w:after="120"/>
        <w:rPr>
          <w:rFonts w:cs="Arial"/>
          <w:bCs/>
        </w:rPr>
      </w:pPr>
      <w:r w:rsidRPr="00227808">
        <w:rPr>
          <w:noProof/>
        </w:rPr>
        <w:pict>
          <v:shape id="_x0000_s1032" type="#_x0000_t75" style="position:absolute;margin-left:243pt;margin-top:10.25pt;width:224.5pt;height:350.5pt;z-index:-1" wrapcoords="-72 -46 -72 21600 21672 21600 21672 -46 -72 -46" o:bordertopcolor="this" o:borderleftcolor="this" o:borderbottomcolor="this" o:borderrightcolor="this" stroked="t" strokeweight=".5pt">
            <v:imagedata r:id="rId12" o:title=""/>
            <w10:wrap type="tight"/>
          </v:shape>
        </w:pict>
      </w:r>
      <w:r w:rsidR="002370E7">
        <w:rPr>
          <w:rFonts w:cs="Arial"/>
          <w:bCs/>
        </w:rPr>
        <w:t xml:space="preserve">NTTG will apply the following process </w:t>
      </w:r>
      <w:r w:rsidR="00EB259A">
        <w:rPr>
          <w:rFonts w:cs="Arial"/>
          <w:bCs/>
        </w:rPr>
        <w:t>to public policy data</w:t>
      </w:r>
      <w:r w:rsidR="002370E7">
        <w:rPr>
          <w:rFonts w:cs="Arial"/>
          <w:bCs/>
        </w:rPr>
        <w:t xml:space="preserve">. </w:t>
      </w:r>
    </w:p>
    <w:p w:rsidR="00EB259A" w:rsidRDefault="00BC3603" w:rsidP="00FF30CD">
      <w:pPr>
        <w:spacing w:after="120"/>
        <w:ind w:left="1260" w:hanging="1260"/>
        <w:rPr>
          <w:rFonts w:cs="Arial"/>
          <w:bCs/>
        </w:rPr>
      </w:pPr>
      <w:r>
        <w:rPr>
          <w:rFonts w:cs="Arial"/>
          <w:bCs/>
        </w:rPr>
        <w:t xml:space="preserve">Quarter </w:t>
      </w:r>
      <w:r w:rsidR="00EB259A">
        <w:rPr>
          <w:rFonts w:cs="Arial"/>
          <w:bCs/>
        </w:rPr>
        <w:t xml:space="preserve">1: </w:t>
      </w:r>
      <w:r w:rsidR="0089062A">
        <w:rPr>
          <w:rFonts w:cs="Arial"/>
          <w:bCs/>
        </w:rPr>
        <w:t xml:space="preserve"> </w:t>
      </w:r>
      <w:r w:rsidR="00FF30CD">
        <w:rPr>
          <w:rFonts w:cs="Arial"/>
          <w:bCs/>
        </w:rPr>
        <w:tab/>
      </w:r>
      <w:r w:rsidR="000E6AD0">
        <w:rPr>
          <w:rFonts w:cs="Arial"/>
          <w:bCs/>
        </w:rPr>
        <w:t>Regional p</w:t>
      </w:r>
      <w:r w:rsidR="00EB259A">
        <w:rPr>
          <w:rFonts w:cs="Arial"/>
          <w:bCs/>
        </w:rPr>
        <w:t xml:space="preserve">ublic policy </w:t>
      </w:r>
      <w:r w:rsidR="00322596">
        <w:rPr>
          <w:rFonts w:cs="Arial"/>
          <w:bCs/>
        </w:rPr>
        <w:t>need</w:t>
      </w:r>
      <w:r w:rsidR="00413CC9">
        <w:rPr>
          <w:rFonts w:cs="Arial"/>
          <w:bCs/>
        </w:rPr>
        <w:t>s</w:t>
      </w:r>
      <w:r w:rsidR="00322596">
        <w:rPr>
          <w:rFonts w:cs="Arial"/>
          <w:bCs/>
        </w:rPr>
        <w:t xml:space="preserve"> </w:t>
      </w:r>
      <w:r w:rsidR="00FF30CD">
        <w:rPr>
          <w:rFonts w:cs="Arial"/>
          <w:bCs/>
        </w:rPr>
        <w:t xml:space="preserve">information and </w:t>
      </w:r>
      <w:r w:rsidR="00EB259A">
        <w:rPr>
          <w:rFonts w:cs="Arial"/>
          <w:bCs/>
        </w:rPr>
        <w:t xml:space="preserve">data </w:t>
      </w:r>
      <w:r w:rsidR="00FF30CD">
        <w:rPr>
          <w:rFonts w:cs="Arial"/>
          <w:bCs/>
        </w:rPr>
        <w:t xml:space="preserve">will be </w:t>
      </w:r>
      <w:r w:rsidR="00413CC9">
        <w:rPr>
          <w:rFonts w:cs="Arial"/>
          <w:bCs/>
        </w:rPr>
        <w:t xml:space="preserve">rolled up </w:t>
      </w:r>
      <w:r w:rsidR="00EB259A">
        <w:rPr>
          <w:rFonts w:cs="Arial"/>
          <w:bCs/>
        </w:rPr>
        <w:t xml:space="preserve">from </w:t>
      </w:r>
      <w:r w:rsidR="00413CC9">
        <w:rPr>
          <w:rFonts w:cs="Arial"/>
          <w:bCs/>
        </w:rPr>
        <w:t xml:space="preserve">the </w:t>
      </w:r>
      <w:r w:rsidR="00EB259A">
        <w:rPr>
          <w:rFonts w:cs="Arial"/>
          <w:bCs/>
        </w:rPr>
        <w:t xml:space="preserve">local </w:t>
      </w:r>
      <w:r w:rsidR="00413CC9">
        <w:rPr>
          <w:rFonts w:cs="Arial"/>
          <w:bCs/>
        </w:rPr>
        <w:t xml:space="preserve">transmission providers’ </w:t>
      </w:r>
      <w:r w:rsidR="00EB259A">
        <w:rPr>
          <w:rFonts w:cs="Arial"/>
          <w:bCs/>
        </w:rPr>
        <w:t xml:space="preserve">transmission plans and </w:t>
      </w:r>
      <w:r w:rsidR="00413CC9">
        <w:rPr>
          <w:rFonts w:cs="Arial"/>
          <w:bCs/>
        </w:rPr>
        <w:t xml:space="preserve">received from </w:t>
      </w:r>
      <w:r w:rsidR="00EB259A">
        <w:rPr>
          <w:rFonts w:cs="Arial"/>
          <w:bCs/>
        </w:rPr>
        <w:t>stakeholders</w:t>
      </w:r>
      <w:r w:rsidR="00FF30CD">
        <w:rPr>
          <w:rFonts w:cs="Arial"/>
          <w:bCs/>
        </w:rPr>
        <w:t xml:space="preserve"> using NTTG’s data submittal forms</w:t>
      </w:r>
      <w:r w:rsidR="00EB259A">
        <w:rPr>
          <w:rFonts w:cs="Arial"/>
          <w:bCs/>
        </w:rPr>
        <w:t>.</w:t>
      </w:r>
    </w:p>
    <w:p w:rsidR="00BC3603" w:rsidRDefault="00BC3603" w:rsidP="00FF30CD">
      <w:pPr>
        <w:spacing w:after="120"/>
        <w:ind w:left="1260" w:hanging="1260"/>
      </w:pPr>
      <w:r>
        <w:t xml:space="preserve">Quarter 2: </w:t>
      </w:r>
      <w:r>
        <w:tab/>
      </w:r>
      <w:r w:rsidR="00FF30CD">
        <w:t>After consultation with stakeholders</w:t>
      </w:r>
      <w:r w:rsidR="00FF30CD" w:rsidRPr="00AB3C11">
        <w:t>, including participation of state regulators</w:t>
      </w:r>
      <w:r w:rsidR="00FF30CD">
        <w:t xml:space="preserve">, </w:t>
      </w:r>
      <w:r w:rsidR="00BD46D6" w:rsidRPr="00AB3C11">
        <w:t xml:space="preserve">NTTG’s </w:t>
      </w:r>
      <w:r w:rsidR="00FF30CD">
        <w:t xml:space="preserve">Planning Committee </w:t>
      </w:r>
      <w:r w:rsidR="00413CC9">
        <w:t xml:space="preserve">will recommend </w:t>
      </w:r>
      <w:r w:rsidR="00B51FBA">
        <w:t xml:space="preserve">to NTTG’s Steering Committee </w:t>
      </w:r>
      <w:r w:rsidR="00413CC9">
        <w:t xml:space="preserve">the regional public policy needs to be used in the regional plan analysis that ultimately defines NTTG’s </w:t>
      </w:r>
      <w:r w:rsidR="00162E14">
        <w:t>Regional Transmission Plan</w:t>
      </w:r>
      <w:r w:rsidR="00413CC9">
        <w:t xml:space="preserve">. The study plan may also include other public policy needs </w:t>
      </w:r>
      <w:r w:rsidR="00FF4682">
        <w:t xml:space="preserve">for </w:t>
      </w:r>
      <w:r w:rsidR="00413CC9">
        <w:t xml:space="preserve">scenario analysis, but </w:t>
      </w:r>
      <w:r w:rsidR="00B51FBA">
        <w:t xml:space="preserve">the scenario study results </w:t>
      </w:r>
      <w:r w:rsidR="00413CC9">
        <w:t xml:space="preserve">will be informational </w:t>
      </w:r>
      <w:r w:rsidR="00FF4682">
        <w:t xml:space="preserve">only </w:t>
      </w:r>
      <w:r w:rsidR="00413CC9">
        <w:t>and not become part of NTTG’s</w:t>
      </w:r>
      <w:r w:rsidR="00FF4682">
        <w:t xml:space="preserve"> </w:t>
      </w:r>
      <w:r w:rsidR="00162E14">
        <w:t>R</w:t>
      </w:r>
      <w:r w:rsidR="00413CC9">
        <w:t xml:space="preserve">egional </w:t>
      </w:r>
      <w:r w:rsidR="00162E14">
        <w:t>T</w:t>
      </w:r>
      <w:r w:rsidR="00413CC9">
        <w:t xml:space="preserve">ransmission </w:t>
      </w:r>
      <w:r w:rsidR="00162E14">
        <w:t>P</w:t>
      </w:r>
      <w:r w:rsidR="00413CC9">
        <w:t>lan.</w:t>
      </w:r>
    </w:p>
    <w:p w:rsidR="00000000" w:rsidRDefault="00591215">
      <w:pPr>
        <w:pStyle w:val="Caption"/>
      </w:pPr>
      <w:r>
        <w:tab/>
      </w:r>
      <w:r>
        <w:tab/>
      </w:r>
      <w:r>
        <w:tab/>
      </w:r>
      <w:r>
        <w:tab/>
      </w:r>
      <w:r>
        <w:tab/>
      </w:r>
      <w:r>
        <w:tab/>
      </w:r>
      <w:r>
        <w:tab/>
        <w:t xml:space="preserve">Figure </w:t>
      </w:r>
      <w:r w:rsidR="00227808">
        <w:fldChar w:fldCharType="begin"/>
      </w:r>
      <w:r>
        <w:instrText xml:space="preserve"> SEQ Figure \* ARABIC </w:instrText>
      </w:r>
      <w:r w:rsidR="00227808">
        <w:fldChar w:fldCharType="separate"/>
      </w:r>
      <w:r w:rsidR="00DD5414">
        <w:rPr>
          <w:noProof/>
        </w:rPr>
        <w:t>5</w:t>
      </w:r>
      <w:r w:rsidR="00227808">
        <w:fldChar w:fldCharType="end"/>
      </w:r>
    </w:p>
    <w:p w:rsidR="00BE699C" w:rsidRDefault="00BE699C" w:rsidP="00FF30CD">
      <w:pPr>
        <w:spacing w:after="120"/>
        <w:ind w:left="1260" w:hanging="1260"/>
      </w:pPr>
      <w:r>
        <w:t>Quarter2</w:t>
      </w:r>
      <w:r w:rsidR="00591215">
        <w:t xml:space="preserve"> (June)</w:t>
      </w:r>
      <w:r>
        <w:t xml:space="preserve">: </w:t>
      </w:r>
      <w:r w:rsidR="00FF30CD">
        <w:tab/>
      </w:r>
      <w:r w:rsidR="003870FD">
        <w:t>Approval of the</w:t>
      </w:r>
      <w:r w:rsidR="00BB3F8D">
        <w:t xml:space="preserve"> study plan, including the </w:t>
      </w:r>
      <w:r w:rsidR="00C70138">
        <w:t xml:space="preserve">regional </w:t>
      </w:r>
      <w:r w:rsidR="003870FD">
        <w:t>p</w:t>
      </w:r>
      <w:r>
        <w:t>ublic policy need</w:t>
      </w:r>
      <w:r w:rsidR="003870FD">
        <w:t>s</w:t>
      </w:r>
      <w:r w:rsidR="00C70138">
        <w:t xml:space="preserve">, by </w:t>
      </w:r>
      <w:r>
        <w:t>NTTG Steering Committee</w:t>
      </w:r>
      <w:r w:rsidR="00C70138">
        <w:t>.</w:t>
      </w:r>
    </w:p>
    <w:p w:rsidR="00D57EDF" w:rsidRDefault="00C538E0" w:rsidP="00BC3603">
      <w:pPr>
        <w:spacing w:after="120"/>
      </w:pPr>
      <w:r w:rsidRPr="00AB3C11">
        <w:rPr>
          <w:rFonts w:cs="Arial"/>
          <w:bCs/>
        </w:rPr>
        <w:t xml:space="preserve">Stakeholder participation in NTTG’s Planning Committee </w:t>
      </w:r>
      <w:r>
        <w:rPr>
          <w:rFonts w:cs="Arial"/>
          <w:bCs/>
        </w:rPr>
        <w:t>meeting</w:t>
      </w:r>
      <w:r w:rsidR="003870FD">
        <w:rPr>
          <w:rFonts w:cs="Arial"/>
          <w:bCs/>
        </w:rPr>
        <w:t>s</w:t>
      </w:r>
      <w:r>
        <w:rPr>
          <w:rFonts w:cs="Arial"/>
          <w:bCs/>
        </w:rPr>
        <w:t xml:space="preserve"> </w:t>
      </w:r>
      <w:r w:rsidRPr="00AB3C11">
        <w:rPr>
          <w:rFonts w:cs="Arial"/>
          <w:bCs/>
        </w:rPr>
        <w:t xml:space="preserve">is </w:t>
      </w:r>
      <w:r w:rsidR="003870FD">
        <w:rPr>
          <w:rFonts w:cs="Arial"/>
          <w:bCs/>
        </w:rPr>
        <w:t xml:space="preserve">always </w:t>
      </w:r>
      <w:r w:rsidRPr="00AB3C11">
        <w:rPr>
          <w:rFonts w:cs="Arial"/>
          <w:bCs/>
        </w:rPr>
        <w:t>encouraged</w:t>
      </w:r>
      <w:r w:rsidR="003870FD">
        <w:rPr>
          <w:rFonts w:cs="Arial"/>
          <w:bCs/>
        </w:rPr>
        <w:t xml:space="preserve">, especially </w:t>
      </w:r>
      <w:r>
        <w:rPr>
          <w:rFonts w:cs="Arial"/>
          <w:bCs/>
        </w:rPr>
        <w:t xml:space="preserve">during this </w:t>
      </w:r>
      <w:r w:rsidR="003870FD">
        <w:rPr>
          <w:rFonts w:cs="Arial"/>
          <w:bCs/>
        </w:rPr>
        <w:t xml:space="preserve">public policy </w:t>
      </w:r>
      <w:r>
        <w:rPr>
          <w:rFonts w:cs="Arial"/>
          <w:bCs/>
        </w:rPr>
        <w:t>process</w:t>
      </w:r>
      <w:r w:rsidRPr="00AB3C11">
        <w:rPr>
          <w:rFonts w:cs="Arial"/>
          <w:bCs/>
        </w:rPr>
        <w:t>.</w:t>
      </w:r>
    </w:p>
    <w:p w:rsidR="00CC0359" w:rsidRDefault="00E729D7" w:rsidP="005A132A">
      <w:pPr>
        <w:pStyle w:val="Heading3"/>
      </w:pPr>
      <w:bookmarkStart w:id="23" w:name="_Toc320179198"/>
      <w:r>
        <w:lastRenderedPageBreak/>
        <w:t>Posting Requirement</w:t>
      </w:r>
      <w:bookmarkEnd w:id="23"/>
    </w:p>
    <w:p w:rsidR="00CC0359" w:rsidRDefault="00CC0359" w:rsidP="00CC0359">
      <w:pPr>
        <w:spacing w:after="120"/>
      </w:pPr>
      <w:r w:rsidRPr="00322596">
        <w:t xml:space="preserve">After the </w:t>
      </w:r>
      <w:r w:rsidR="00322596" w:rsidRPr="00322596">
        <w:t>NTTG Steering Committee approves the public policy needs that will be used in the biennial plan</w:t>
      </w:r>
      <w:r w:rsidRPr="00322596">
        <w:t>, NTTG and its transmission providers will post on their OASIS sites a list</w:t>
      </w:r>
      <w:r>
        <w:t xml:space="preserve"> of which public policy </w:t>
      </w:r>
      <w:r w:rsidR="00322596">
        <w:t xml:space="preserve">needs </w:t>
      </w:r>
      <w:r>
        <w:t>will be evaluated in the biennial transmission plan</w:t>
      </w:r>
      <w:r w:rsidR="00162E14">
        <w:t>ning process</w:t>
      </w:r>
      <w:r>
        <w:t xml:space="preserve"> and why other suggested public policy </w:t>
      </w:r>
      <w:r w:rsidR="00322596">
        <w:t>needs</w:t>
      </w:r>
      <w:r>
        <w:t xml:space="preserve"> will not be evaluated.</w:t>
      </w:r>
    </w:p>
    <w:p w:rsidR="006518CB" w:rsidRDefault="006518CB" w:rsidP="005A132A">
      <w:pPr>
        <w:pStyle w:val="Heading3"/>
      </w:pPr>
      <w:bookmarkStart w:id="24" w:name="_Toc320179199"/>
      <w:r>
        <w:t xml:space="preserve">Public Policy </w:t>
      </w:r>
      <w:r w:rsidR="00322596">
        <w:t>Need</w:t>
      </w:r>
      <w:r w:rsidR="009D0AC4">
        <w:t>s</w:t>
      </w:r>
      <w:r w:rsidR="00322596">
        <w:t xml:space="preserve"> </w:t>
      </w:r>
      <w:r>
        <w:t>Evaluation in the Regional Plan</w:t>
      </w:r>
      <w:bookmarkEnd w:id="24"/>
    </w:p>
    <w:p w:rsidR="00F762E4" w:rsidRDefault="00AC7753" w:rsidP="000023AC">
      <w:pPr>
        <w:spacing w:after="120"/>
      </w:pPr>
      <w:r>
        <w:t xml:space="preserve">NTTG will use its regional planning process to </w:t>
      </w:r>
      <w:r w:rsidR="00322596">
        <w:t xml:space="preserve">determine </w:t>
      </w:r>
      <w:r>
        <w:t xml:space="preserve">if there is a more efficient and cost effective </w:t>
      </w:r>
      <w:r w:rsidR="003843E6">
        <w:t xml:space="preserve">regional </w:t>
      </w:r>
      <w:r>
        <w:t xml:space="preserve">solution to meet the public policy </w:t>
      </w:r>
      <w:r w:rsidR="00322596">
        <w:t>needs</w:t>
      </w:r>
      <w:r w:rsidR="003843E6">
        <w:t xml:space="preserve"> submitted by the transmission providers</w:t>
      </w:r>
      <w:r w:rsidR="009D0AC4">
        <w:t xml:space="preserve"> in their local plans</w:t>
      </w:r>
      <w:r>
        <w:t>.</w:t>
      </w:r>
      <w:r w:rsidR="00DC4669">
        <w:t xml:space="preserve"> </w:t>
      </w:r>
      <w:r w:rsidR="009D0AC4">
        <w:t xml:space="preserve">The selection </w:t>
      </w:r>
      <w:r w:rsidR="00132BE9">
        <w:t xml:space="preserve">process and </w:t>
      </w:r>
      <w:r w:rsidR="009D0AC4">
        <w:t xml:space="preserve">criteria for a regional public policy </w:t>
      </w:r>
      <w:r w:rsidR="00C70138">
        <w:t xml:space="preserve">needs </w:t>
      </w:r>
      <w:r w:rsidR="009D0AC4">
        <w:t>project solution</w:t>
      </w:r>
      <w:r w:rsidR="00132BE9">
        <w:t>(s)</w:t>
      </w:r>
      <w:r w:rsidR="009D0AC4">
        <w:t xml:space="preserve"> will be the same as</w:t>
      </w:r>
      <w:r w:rsidR="00132BE9">
        <w:t xml:space="preserve"> that which is used f</w:t>
      </w:r>
      <w:r w:rsidR="009D0AC4">
        <w:t>o</w:t>
      </w:r>
      <w:r w:rsidR="00132BE9">
        <w:t>r</w:t>
      </w:r>
      <w:r w:rsidR="009D0AC4">
        <w:t xml:space="preserve"> any other regional project</w:t>
      </w:r>
      <w:r w:rsidR="00132BE9">
        <w:t xml:space="preserve"> that is selected</w:t>
      </w:r>
      <w:r w:rsidR="009D0AC4">
        <w:t xml:space="preserve"> into NTTG’s regional plan.</w:t>
      </w:r>
    </w:p>
    <w:p w:rsidR="00850833" w:rsidRPr="00AB3C11" w:rsidRDefault="003843E6" w:rsidP="000023AC">
      <w:pPr>
        <w:spacing w:after="120"/>
      </w:pPr>
      <w:r>
        <w:t xml:space="preserve">In its technical analysis, </w:t>
      </w:r>
      <w:r w:rsidR="00DC4669">
        <w:t xml:space="preserve">NTTG will </w:t>
      </w:r>
      <w:r>
        <w:t xml:space="preserve">insert the </w:t>
      </w:r>
      <w:r w:rsidR="00DC4669">
        <w:t xml:space="preserve">public policy </w:t>
      </w:r>
      <w:r w:rsidR="00322596">
        <w:t>needs</w:t>
      </w:r>
      <w:r w:rsidR="00DC4669">
        <w:t xml:space="preserve"> </w:t>
      </w:r>
      <w:r>
        <w:t xml:space="preserve">in the transmission planning process to </w:t>
      </w:r>
      <w:r w:rsidR="00D04B07">
        <w:t xml:space="preserve">be </w:t>
      </w:r>
      <w:r>
        <w:t>evaluate</w:t>
      </w:r>
      <w:r w:rsidR="00D04B07">
        <w:t>d with</w:t>
      </w:r>
      <w:r>
        <w:t xml:space="preserve"> </w:t>
      </w:r>
      <w:r w:rsidR="00D04B07">
        <w:t xml:space="preserve">other regional </w:t>
      </w:r>
      <w:r w:rsidR="00D17EB4">
        <w:t xml:space="preserve">projects </w:t>
      </w:r>
      <w:r>
        <w:t xml:space="preserve">rather than considering public policy </w:t>
      </w:r>
      <w:r w:rsidR="00322596">
        <w:t>needs</w:t>
      </w:r>
      <w:r>
        <w:t xml:space="preserve"> separately from other </w:t>
      </w:r>
      <w:r w:rsidR="000023AC">
        <w:t>t</w:t>
      </w:r>
      <w:r>
        <w:t>ransmission needs.</w:t>
      </w:r>
    </w:p>
    <w:p w:rsidR="004E30CF" w:rsidRPr="00C131E7" w:rsidRDefault="00DA4A75" w:rsidP="00C131E7">
      <w:pPr>
        <w:pStyle w:val="Heading1"/>
      </w:pPr>
      <w:bookmarkStart w:id="25" w:name="_Ref319672449"/>
      <w:bookmarkStart w:id="26" w:name="_Toc320179200"/>
      <w:r w:rsidRPr="00C131E7">
        <w:t xml:space="preserve">Regional Transmission Plan </w:t>
      </w:r>
      <w:r w:rsidR="00880635" w:rsidRPr="00C131E7">
        <w:t>Evaluation Process</w:t>
      </w:r>
      <w:bookmarkEnd w:id="25"/>
      <w:bookmarkEnd w:id="26"/>
    </w:p>
    <w:p w:rsidR="00B84C65" w:rsidRDefault="00DD21B3" w:rsidP="004732E8">
      <w:pPr>
        <w:spacing w:after="120"/>
      </w:pPr>
      <w:r>
        <w:t xml:space="preserve">The </w:t>
      </w:r>
      <w:r w:rsidR="00CF12A9">
        <w:t xml:space="preserve">eight quarter biennial planning cycle </w:t>
      </w:r>
      <w:r>
        <w:t xml:space="preserve">evaluation process begins in quarter </w:t>
      </w:r>
      <w:r w:rsidR="00DB3AEC">
        <w:t>one</w:t>
      </w:r>
      <w:r>
        <w:t xml:space="preserve"> by collecting </w:t>
      </w:r>
      <w:r w:rsidR="00FB0D87">
        <w:t xml:space="preserve">appropriate load, resource and transmission </w:t>
      </w:r>
      <w:r>
        <w:t>data</w:t>
      </w:r>
      <w:r w:rsidR="00B84C65">
        <w:t>, including public policy need projects, non-transmission projects, other regional and interregional projects,</w:t>
      </w:r>
      <w:r w:rsidR="00CF12A9">
        <w:t xml:space="preserve"> </w:t>
      </w:r>
      <w:r w:rsidR="00A86719">
        <w:t xml:space="preserve">from </w:t>
      </w:r>
      <w:r w:rsidR="00A06282">
        <w:t>transmission providers, stakeholder</w:t>
      </w:r>
      <w:r w:rsidR="00B84C65">
        <w:t>s</w:t>
      </w:r>
      <w:r w:rsidR="00003F19">
        <w:t xml:space="preserve">, </w:t>
      </w:r>
      <w:r w:rsidR="00A06282">
        <w:t>merchant project developers</w:t>
      </w:r>
      <w:r w:rsidR="00B84C65">
        <w:t>,</w:t>
      </w:r>
      <w:r w:rsidR="00003F19">
        <w:t xml:space="preserve"> committed regional and interregional projects </w:t>
      </w:r>
      <w:r w:rsidR="006E1233">
        <w:t xml:space="preserve">. </w:t>
      </w:r>
    </w:p>
    <w:p w:rsidR="00B84C65" w:rsidRDefault="00A06282" w:rsidP="000023AC">
      <w:pPr>
        <w:spacing w:after="120"/>
      </w:pPr>
      <w:r>
        <w:t>Th</w:t>
      </w:r>
      <w:r w:rsidR="000D1F71">
        <w:t xml:space="preserve">e quarter </w:t>
      </w:r>
      <w:r w:rsidR="00DB3AEC">
        <w:t>one</w:t>
      </w:r>
      <w:r w:rsidR="000D1F71">
        <w:t xml:space="preserve"> activities are </w:t>
      </w:r>
      <w:r w:rsidR="00CF12A9">
        <w:t xml:space="preserve">followed </w:t>
      </w:r>
      <w:r w:rsidR="005A4106">
        <w:t xml:space="preserve">in quarter </w:t>
      </w:r>
      <w:r w:rsidR="00DB3AEC">
        <w:t>two</w:t>
      </w:r>
      <w:r w:rsidR="005A4106">
        <w:t xml:space="preserve"> by </w:t>
      </w:r>
      <w:r w:rsidR="00DD21B3">
        <w:t>develop</w:t>
      </w:r>
      <w:r w:rsidR="005A4106">
        <w:t xml:space="preserve">ment of </w:t>
      </w:r>
      <w:r w:rsidR="00DD21B3">
        <w:t xml:space="preserve">the </w:t>
      </w:r>
      <w:r w:rsidR="00016290" w:rsidRPr="00016290">
        <w:rPr>
          <w:u w:val="single"/>
        </w:rPr>
        <w:t xml:space="preserve">biennial </w:t>
      </w:r>
      <w:r w:rsidR="00DD21B3" w:rsidRPr="00016290">
        <w:rPr>
          <w:u w:val="single"/>
        </w:rPr>
        <w:t>study plan</w:t>
      </w:r>
      <w:r w:rsidR="00016290">
        <w:t xml:space="preserve"> (or study plan)</w:t>
      </w:r>
      <w:r w:rsidR="00DD21B3">
        <w:t xml:space="preserve">. </w:t>
      </w:r>
      <w:r w:rsidR="000D1F71">
        <w:t xml:space="preserve">The study plan </w:t>
      </w:r>
      <w:r w:rsidR="008708A5">
        <w:t>defines</w:t>
      </w:r>
      <w:r w:rsidR="000D1F71">
        <w:t xml:space="preserve"> the specific study requirements </w:t>
      </w:r>
      <w:r w:rsidR="008708A5">
        <w:t xml:space="preserve">and assumptions </w:t>
      </w:r>
      <w:r w:rsidR="000D1F71">
        <w:t>for the planning study</w:t>
      </w:r>
      <w:r w:rsidR="006E1233">
        <w:t xml:space="preserve">. </w:t>
      </w:r>
    </w:p>
    <w:p w:rsidR="00D5023A" w:rsidRDefault="00DD21B3" w:rsidP="000023AC">
      <w:pPr>
        <w:spacing w:after="120"/>
      </w:pPr>
      <w:r>
        <w:t xml:space="preserve">In quarter </w:t>
      </w:r>
      <w:r w:rsidR="00DB3AEC">
        <w:t>three</w:t>
      </w:r>
      <w:r>
        <w:t xml:space="preserve"> t</w:t>
      </w:r>
      <w:r w:rsidR="00653A6C">
        <w:t xml:space="preserve">he study </w:t>
      </w:r>
      <w:r w:rsidR="00A06282">
        <w:t xml:space="preserve">process </w:t>
      </w:r>
      <w:r w:rsidR="00653A6C">
        <w:t xml:space="preserve">begins by defining </w:t>
      </w:r>
      <w:r w:rsidR="00A86719">
        <w:t>an</w:t>
      </w:r>
      <w:r w:rsidR="00A86719" w:rsidRPr="00016290">
        <w:t xml:space="preserve"> i</w:t>
      </w:r>
      <w:r w:rsidR="00A86719" w:rsidRPr="00016290">
        <w:rPr>
          <w:u w:val="single"/>
        </w:rPr>
        <w:t xml:space="preserve">nitial regional transmission </w:t>
      </w:r>
      <w:proofErr w:type="gramStart"/>
      <w:r w:rsidR="00A86719" w:rsidRPr="00016290">
        <w:rPr>
          <w:u w:val="single"/>
        </w:rPr>
        <w:t>plan</w:t>
      </w:r>
      <w:r w:rsidR="00A86719" w:rsidRPr="00016290">
        <w:t xml:space="preserve"> </w:t>
      </w:r>
      <w:r w:rsidR="00016290">
        <w:t xml:space="preserve"> </w:t>
      </w:r>
      <w:r w:rsidR="00A86719">
        <w:t>as</w:t>
      </w:r>
      <w:proofErr w:type="gramEnd"/>
      <w:r w:rsidR="00A86719">
        <w:t xml:space="preserve"> the </w:t>
      </w:r>
      <w:r w:rsidR="00A06282">
        <w:t xml:space="preserve">roll up </w:t>
      </w:r>
      <w:r w:rsidR="00E67FEC">
        <w:t>of the transmission providers local transmission plans</w:t>
      </w:r>
      <w:r w:rsidR="006E1233">
        <w:t xml:space="preserve">. </w:t>
      </w:r>
      <w:r w:rsidR="005A4106">
        <w:t xml:space="preserve">This </w:t>
      </w:r>
      <w:r w:rsidR="0011229C">
        <w:t>initial</w:t>
      </w:r>
      <w:r w:rsidR="005A4106">
        <w:t xml:space="preserve"> </w:t>
      </w:r>
      <w:r w:rsidR="0009350A">
        <w:t xml:space="preserve">regional </w:t>
      </w:r>
      <w:r w:rsidR="00FE094B">
        <w:t xml:space="preserve">transmission </w:t>
      </w:r>
      <w:r w:rsidR="005A4106">
        <w:t>plan should provide</w:t>
      </w:r>
      <w:r w:rsidR="00E67FEC">
        <w:t>,</w:t>
      </w:r>
      <w:r w:rsidR="005A4106">
        <w:t xml:space="preserve"> from the transmission provider perspective</w:t>
      </w:r>
      <w:r w:rsidR="00E67FEC">
        <w:t>,</w:t>
      </w:r>
      <w:r w:rsidR="005A4106">
        <w:t xml:space="preserve"> </w:t>
      </w:r>
      <w:r w:rsidR="006B101B">
        <w:t>the reliable delivery of generation to loads that underl</w:t>
      </w:r>
      <w:r w:rsidR="00D5023A">
        <w:t>ying</w:t>
      </w:r>
      <w:r w:rsidR="006B101B">
        <w:t xml:space="preserve"> the transmission planning process</w:t>
      </w:r>
      <w:r w:rsidR="00D5023A">
        <w:t xml:space="preserve"> and should also </w:t>
      </w:r>
      <w:r w:rsidR="00E67FEC">
        <w:t>includ</w:t>
      </w:r>
      <w:r w:rsidR="00D5023A">
        <w:t>e the transmission providers’</w:t>
      </w:r>
      <w:r w:rsidR="00E67FEC">
        <w:t xml:space="preserve"> public policy </w:t>
      </w:r>
      <w:r w:rsidR="00C70138">
        <w:t xml:space="preserve">needs </w:t>
      </w:r>
      <w:r w:rsidR="00E67FEC">
        <w:t>transmission projects to meet their respective public policy</w:t>
      </w:r>
      <w:r w:rsidR="00C70138">
        <w:t xml:space="preserve"> needs</w:t>
      </w:r>
      <w:r w:rsidR="006B101B">
        <w:t xml:space="preserve">. </w:t>
      </w:r>
    </w:p>
    <w:p w:rsidR="00B84C65" w:rsidRDefault="00CB224D" w:rsidP="004732E8">
      <w:pPr>
        <w:spacing w:after="120"/>
      </w:pPr>
      <w:r>
        <w:t xml:space="preserve">Technical analysis of </w:t>
      </w:r>
      <w:r w:rsidR="0011229C">
        <w:t>this initial regional</w:t>
      </w:r>
      <w:r w:rsidR="0009350A">
        <w:t xml:space="preserve"> transmission</w:t>
      </w:r>
      <w:r w:rsidR="0011229C">
        <w:t xml:space="preserve"> plan</w:t>
      </w:r>
      <w:r>
        <w:t xml:space="preserve"> then proceeds</w:t>
      </w:r>
      <w:r w:rsidR="00A0336B">
        <w:t xml:space="preserve"> in quarter</w:t>
      </w:r>
      <w:r w:rsidR="00DB3AEC">
        <w:t>s three and four</w:t>
      </w:r>
      <w:r w:rsidR="00E67FEC">
        <w:t xml:space="preserve">. </w:t>
      </w:r>
      <w:r w:rsidR="00491CAA">
        <w:t xml:space="preserve">The initial regional transmission plan’s load and resources </w:t>
      </w:r>
      <w:r w:rsidR="00A0336B">
        <w:t xml:space="preserve">will be adjusted pursuant to the study plan and </w:t>
      </w:r>
      <w:r w:rsidR="00491CAA">
        <w:t>will be tested against the</w:t>
      </w:r>
      <w:r w:rsidR="00A0336B" w:rsidRPr="00A0336B">
        <w:t xml:space="preserve"> </w:t>
      </w:r>
      <w:r w:rsidR="00A0336B">
        <w:t>Western Electricity Coordinating Council</w:t>
      </w:r>
      <w:r w:rsidR="00491CAA">
        <w:t xml:space="preserve"> </w:t>
      </w:r>
      <w:r w:rsidR="00A0336B">
        <w:t xml:space="preserve">(“WECC”) </w:t>
      </w:r>
      <w:r w:rsidR="00491CAA">
        <w:t xml:space="preserve">transmission network defined by appropriate </w:t>
      </w:r>
      <w:r w:rsidR="00836E6E">
        <w:t xml:space="preserve">WECC </w:t>
      </w:r>
      <w:r w:rsidR="00491CAA">
        <w:t>base case</w:t>
      </w:r>
      <w:r w:rsidR="00296370">
        <w:t>s (production cost and power flow)</w:t>
      </w:r>
      <w:r w:rsidR="00491CAA">
        <w:t xml:space="preserve">. </w:t>
      </w:r>
      <w:r>
        <w:t>The primary focus of this analysis</w:t>
      </w:r>
      <w:r w:rsidR="005A4106">
        <w:t xml:space="preserve"> is to </w:t>
      </w:r>
      <w:r w:rsidR="00A0336B">
        <w:t xml:space="preserve">determine </w:t>
      </w:r>
      <w:r w:rsidR="00C3601F">
        <w:t>betterments</w:t>
      </w:r>
      <w:r w:rsidR="00C3601F" w:rsidRPr="00C3601F">
        <w:t xml:space="preserve"> </w:t>
      </w:r>
      <w:r w:rsidR="00C3601F">
        <w:t xml:space="preserve">to the initial </w:t>
      </w:r>
      <w:r w:rsidR="0009350A">
        <w:t xml:space="preserve">regional </w:t>
      </w:r>
      <w:r w:rsidR="00FE094B">
        <w:t xml:space="preserve">transmission </w:t>
      </w:r>
      <w:r w:rsidR="00C3601F">
        <w:t>plan</w:t>
      </w:r>
      <w:r w:rsidR="00E67FEC">
        <w:t xml:space="preserve"> </w:t>
      </w:r>
      <w:r w:rsidR="005A4106">
        <w:t>t</w:t>
      </w:r>
      <w:r w:rsidR="00E67FEC">
        <w:t xml:space="preserve">hrough </w:t>
      </w:r>
      <w:r w:rsidR="005A4106">
        <w:t>regional solution</w:t>
      </w:r>
      <w:r w:rsidR="00E67FEC">
        <w:t>s</w:t>
      </w:r>
      <w:r w:rsidR="005A4106">
        <w:t xml:space="preserve"> </w:t>
      </w:r>
      <w:r>
        <w:t xml:space="preserve">that would </w:t>
      </w:r>
      <w:r w:rsidR="005A4106">
        <w:t xml:space="preserve">yield a </w:t>
      </w:r>
      <w:r w:rsidR="00162E14">
        <w:t xml:space="preserve">Regional Transmission Plan </w:t>
      </w:r>
      <w:r w:rsidR="00E67FEC">
        <w:t xml:space="preserve">that is </w:t>
      </w:r>
      <w:r w:rsidR="005A4106">
        <w:t>more efficient and cost effective</w:t>
      </w:r>
      <w:r>
        <w:t xml:space="preserve"> than the initial</w:t>
      </w:r>
      <w:r w:rsidR="0009350A">
        <w:t xml:space="preserve"> regional</w:t>
      </w:r>
      <w:r>
        <w:t xml:space="preserve"> </w:t>
      </w:r>
      <w:r w:rsidR="00FE094B">
        <w:t xml:space="preserve">transmission </w:t>
      </w:r>
      <w:r>
        <w:t>plan</w:t>
      </w:r>
      <w:r w:rsidR="006E1233">
        <w:t xml:space="preserve">. </w:t>
      </w:r>
      <w:r>
        <w:t xml:space="preserve">The result of this analysis is the development of a </w:t>
      </w:r>
      <w:r w:rsidRPr="00C3601F">
        <w:rPr>
          <w:u w:val="single"/>
        </w:rPr>
        <w:t xml:space="preserve">draft regional </w:t>
      </w:r>
      <w:r w:rsidR="00A0336B" w:rsidRPr="00C3601F">
        <w:rPr>
          <w:u w:val="single"/>
        </w:rPr>
        <w:t xml:space="preserve">transmission </w:t>
      </w:r>
      <w:r w:rsidRPr="00C3601F">
        <w:rPr>
          <w:u w:val="single"/>
        </w:rPr>
        <w:t>plan</w:t>
      </w:r>
      <w:r w:rsidR="006E1233">
        <w:t xml:space="preserve">. </w:t>
      </w:r>
    </w:p>
    <w:p w:rsidR="00B84C65" w:rsidRDefault="00B84C65" w:rsidP="004732E8">
      <w:pPr>
        <w:spacing w:after="120"/>
      </w:pPr>
      <w:r>
        <w:t>S</w:t>
      </w:r>
      <w:r w:rsidR="00A0336B">
        <w:t xml:space="preserve">takeholder comments </w:t>
      </w:r>
      <w:r w:rsidR="006370E4">
        <w:t xml:space="preserve">on the draft plan </w:t>
      </w:r>
      <w:r w:rsidR="00C3601F">
        <w:t xml:space="preserve">are received </w:t>
      </w:r>
      <w:r>
        <w:t xml:space="preserve">along with </w:t>
      </w:r>
      <w:r w:rsidR="006370E4">
        <w:t>other input received during the quarter five data submittal period</w:t>
      </w:r>
      <w:r>
        <w:t xml:space="preserve">. From this information </w:t>
      </w:r>
      <w:r w:rsidR="00A0336B">
        <w:t>the draft plan may be modified</w:t>
      </w:r>
      <w:r w:rsidR="006E1233">
        <w:t xml:space="preserve">. </w:t>
      </w:r>
      <w:r w:rsidR="00A0336B">
        <w:t>After th</w:t>
      </w:r>
      <w:r w:rsidR="00C3601F">
        <w:t>e</w:t>
      </w:r>
      <w:r w:rsidR="00A0336B">
        <w:t xml:space="preserve"> modification</w:t>
      </w:r>
      <w:r w:rsidR="00C3601F">
        <w:t>s,</w:t>
      </w:r>
      <w:r w:rsidR="00A0336B">
        <w:t xml:space="preserve"> a detailed analysis of the </w:t>
      </w:r>
      <w:r w:rsidR="00C3601F">
        <w:t xml:space="preserve">modified </w:t>
      </w:r>
      <w:r w:rsidR="00A0336B">
        <w:t xml:space="preserve">draft regional transmission plan is conducted during </w:t>
      </w:r>
      <w:r w:rsidR="00A0336B">
        <w:lastRenderedPageBreak/>
        <w:t xml:space="preserve">quarters </w:t>
      </w:r>
      <w:r w:rsidR="00DB3AEC">
        <w:t>five and six</w:t>
      </w:r>
      <w:r w:rsidR="00C3601F">
        <w:t>. The result of this analysis is</w:t>
      </w:r>
      <w:r w:rsidR="00A0336B">
        <w:t xml:space="preserve"> </w:t>
      </w:r>
      <w:r w:rsidR="006370E4">
        <w:t xml:space="preserve">the development of </w:t>
      </w:r>
      <w:r w:rsidR="00C3601F">
        <w:t xml:space="preserve">a </w:t>
      </w:r>
      <w:r w:rsidR="00C3601F" w:rsidRPr="00C3601F">
        <w:rPr>
          <w:u w:val="single"/>
        </w:rPr>
        <w:t xml:space="preserve">draft </w:t>
      </w:r>
      <w:r w:rsidR="00A0336B" w:rsidRPr="00C3601F">
        <w:rPr>
          <w:u w:val="single"/>
        </w:rPr>
        <w:t>regional transmission plan</w:t>
      </w:r>
      <w:r w:rsidR="00C3601F">
        <w:rPr>
          <w:u w:val="single"/>
        </w:rPr>
        <w:t xml:space="preserve"> report</w:t>
      </w:r>
      <w:r w:rsidR="006370E4" w:rsidRPr="006370E4">
        <w:t xml:space="preserve"> that will be available for stakeholder comment</w:t>
      </w:r>
      <w:r w:rsidR="006E1233">
        <w:t>.</w:t>
      </w:r>
      <w:r w:rsidR="00A0336B" w:rsidRPr="00C3601F">
        <w:rPr>
          <w:u w:val="single"/>
        </w:rPr>
        <w:t xml:space="preserve"> NTTG</w:t>
      </w:r>
      <w:r w:rsidR="00162E14">
        <w:rPr>
          <w:u w:val="single"/>
        </w:rPr>
        <w:t>’s</w:t>
      </w:r>
      <w:r w:rsidR="00A0336B" w:rsidRPr="00C3601F">
        <w:rPr>
          <w:u w:val="single"/>
        </w:rPr>
        <w:t xml:space="preserve"> </w:t>
      </w:r>
      <w:r w:rsidR="00C3601F">
        <w:rPr>
          <w:u w:val="single"/>
        </w:rPr>
        <w:t>R</w:t>
      </w:r>
      <w:r w:rsidR="00A0336B" w:rsidRPr="00C3601F">
        <w:rPr>
          <w:u w:val="single"/>
        </w:rPr>
        <w:t xml:space="preserve">egional </w:t>
      </w:r>
      <w:r w:rsidR="00C3601F">
        <w:rPr>
          <w:u w:val="single"/>
        </w:rPr>
        <w:t>T</w:t>
      </w:r>
      <w:r w:rsidR="00A0336B" w:rsidRPr="00C3601F">
        <w:rPr>
          <w:u w:val="single"/>
        </w:rPr>
        <w:t xml:space="preserve">ransmission </w:t>
      </w:r>
      <w:r w:rsidR="00C3601F">
        <w:rPr>
          <w:u w:val="single"/>
        </w:rPr>
        <w:t>P</w:t>
      </w:r>
      <w:r w:rsidR="00A0336B" w:rsidRPr="00C3601F">
        <w:rPr>
          <w:u w:val="single"/>
        </w:rPr>
        <w:t>lan</w:t>
      </w:r>
      <w:r>
        <w:rPr>
          <w:u w:val="single"/>
        </w:rPr>
        <w:t xml:space="preserve"> report</w:t>
      </w:r>
      <w:r w:rsidR="001E17F6">
        <w:t xml:space="preserve"> </w:t>
      </w:r>
      <w:r w:rsidR="00A0336B">
        <w:t>maybe</w:t>
      </w:r>
      <w:r>
        <w:t xml:space="preserve"> a</w:t>
      </w:r>
      <w:r w:rsidR="00A0336B">
        <w:t xml:space="preserve"> modifi</w:t>
      </w:r>
      <w:r>
        <w:t xml:space="preserve">cation of the draft plan </w:t>
      </w:r>
      <w:r w:rsidR="00A0336B">
        <w:t xml:space="preserve">pursuant to stakeholder comments received during quarter </w:t>
      </w:r>
      <w:r w:rsidR="00DB3AEC">
        <w:t>seven</w:t>
      </w:r>
      <w:r w:rsidR="006370E4">
        <w:t xml:space="preserve">. </w:t>
      </w:r>
    </w:p>
    <w:p w:rsidR="00B84C65" w:rsidRDefault="006370E4" w:rsidP="004732E8">
      <w:pPr>
        <w:spacing w:after="120"/>
      </w:pPr>
      <w:r>
        <w:t xml:space="preserve">Approval </w:t>
      </w:r>
      <w:r w:rsidR="00A0336B">
        <w:t xml:space="preserve">by the NTTG Steering Committee </w:t>
      </w:r>
      <w:r>
        <w:t xml:space="preserve">is </w:t>
      </w:r>
      <w:r w:rsidR="00A0336B">
        <w:t xml:space="preserve">in quarter </w:t>
      </w:r>
      <w:r w:rsidR="00DB3AEC">
        <w:t>eight</w:t>
      </w:r>
      <w:r w:rsidR="006E1233">
        <w:t xml:space="preserve">. </w:t>
      </w:r>
    </w:p>
    <w:p w:rsidR="00F476FA" w:rsidRDefault="002174E2" w:rsidP="004732E8">
      <w:pPr>
        <w:spacing w:after="120"/>
      </w:pPr>
      <w:r>
        <w:t xml:space="preserve">A diagram of the regional planning process is shown in </w:t>
      </w:r>
      <w:r w:rsidR="00227808">
        <w:fldChar w:fldCharType="begin"/>
      </w:r>
      <w:r w:rsidR="00B30545">
        <w:instrText xml:space="preserve"> REF _Ref317654743 \h </w:instrText>
      </w:r>
      <w:r w:rsidR="00227808">
        <w:fldChar w:fldCharType="separate"/>
      </w:r>
      <w:r w:rsidR="00DD5414">
        <w:t xml:space="preserve">Figure </w:t>
      </w:r>
      <w:r w:rsidR="00DD5414">
        <w:rPr>
          <w:noProof/>
        </w:rPr>
        <w:t>6</w:t>
      </w:r>
      <w:r w:rsidR="00227808">
        <w:fldChar w:fldCharType="end"/>
      </w:r>
      <w:r>
        <w:t>.</w:t>
      </w:r>
    </w:p>
    <w:p w:rsidR="0011229C" w:rsidRDefault="007A48D7" w:rsidP="0011229C">
      <w:pPr>
        <w:spacing w:after="120"/>
        <w:jc w:val="center"/>
      </w:pPr>
      <w:r>
        <w:pict>
          <v:shape id="_x0000_i1028" type="#_x0000_t75" style="width:467.3pt;height:382.4pt">
            <v:imagedata r:id="rId13" o:title=""/>
          </v:shape>
        </w:pict>
      </w:r>
    </w:p>
    <w:p w:rsidR="00F57ADB" w:rsidRDefault="006C3214" w:rsidP="00FD4EBE">
      <w:pPr>
        <w:pStyle w:val="Caption"/>
        <w:ind w:left="720" w:firstLine="720"/>
      </w:pPr>
      <w:bookmarkStart w:id="27" w:name="_Ref317654743"/>
      <w:r>
        <w:t xml:space="preserve">Figure </w:t>
      </w:r>
      <w:fldSimple w:instr=" SEQ Figure \* ARABIC ">
        <w:r w:rsidR="00DD5414">
          <w:rPr>
            <w:noProof/>
          </w:rPr>
          <w:t>6</w:t>
        </w:r>
      </w:fldSimple>
      <w:bookmarkEnd w:id="27"/>
    </w:p>
    <w:p w:rsidR="003024CF" w:rsidRPr="00FA2CCB" w:rsidRDefault="0068314E" w:rsidP="000216FF">
      <w:pPr>
        <w:pStyle w:val="Heading1"/>
      </w:pPr>
      <w:bookmarkStart w:id="28" w:name="_Toc320179201"/>
      <w:r>
        <w:t>Study Plan</w:t>
      </w:r>
      <w:bookmarkEnd w:id="28"/>
      <w:r>
        <w:t xml:space="preserve"> </w:t>
      </w:r>
    </w:p>
    <w:p w:rsidR="00623A7C" w:rsidRDefault="000A768B" w:rsidP="004732E8">
      <w:pPr>
        <w:spacing w:after="120"/>
      </w:pPr>
      <w:r>
        <w:t xml:space="preserve">NTTG’s biennial </w:t>
      </w:r>
      <w:r w:rsidR="00E53A33">
        <w:t>study plan will be developed</w:t>
      </w:r>
      <w:r w:rsidR="00AD69F7">
        <w:t xml:space="preserve"> in </w:t>
      </w:r>
      <w:r w:rsidR="00AE5011">
        <w:t xml:space="preserve">consultation </w:t>
      </w:r>
      <w:r w:rsidR="00AD69F7">
        <w:t>with stakeholders</w:t>
      </w:r>
      <w:r w:rsidR="00E53A33">
        <w:t xml:space="preserve"> during </w:t>
      </w:r>
      <w:r w:rsidR="00623A7C">
        <w:t xml:space="preserve">the second </w:t>
      </w:r>
      <w:r w:rsidR="00E53A33">
        <w:t xml:space="preserve">quarter of </w:t>
      </w:r>
      <w:r>
        <w:t xml:space="preserve">the </w:t>
      </w:r>
      <w:r w:rsidR="00E53A33">
        <w:t>planning cycle</w:t>
      </w:r>
      <w:r>
        <w:t xml:space="preserve">. </w:t>
      </w:r>
      <w:r w:rsidR="00623A7C">
        <w:t>Stakeholders will be consulted during the regularly scheduled Planning Committee meetings</w:t>
      </w:r>
      <w:r w:rsidR="00667E74">
        <w:t xml:space="preserve"> and are encouraged to participate in these meetings</w:t>
      </w:r>
      <w:r w:rsidR="00623A7C">
        <w:t xml:space="preserve">. </w:t>
      </w:r>
      <w:r w:rsidR="00606533">
        <w:t xml:space="preserve">The study plan will be submitted to NTTG’s Steering Committee for approval at the end of quarter </w:t>
      </w:r>
      <w:r w:rsidR="00F530E9">
        <w:t>two</w:t>
      </w:r>
      <w:r w:rsidR="009A4027">
        <w:t xml:space="preserve"> (</w:t>
      </w:r>
      <w:proofErr w:type="spellStart"/>
      <w:r w:rsidR="009A4027">
        <w:t>i.e</w:t>
      </w:r>
      <w:proofErr w:type="spellEnd"/>
      <w:r w:rsidR="009A4027">
        <w:t>, June)</w:t>
      </w:r>
      <w:r w:rsidR="00606533">
        <w:t xml:space="preserve">. </w:t>
      </w:r>
    </w:p>
    <w:p w:rsidR="00623A7C" w:rsidRDefault="000A768B" w:rsidP="004732E8">
      <w:pPr>
        <w:spacing w:after="120"/>
      </w:pPr>
      <w:r>
        <w:t xml:space="preserve">In addition to </w:t>
      </w:r>
      <w:r w:rsidR="00E53A33">
        <w:t>provid</w:t>
      </w:r>
      <w:r>
        <w:t>ing</w:t>
      </w:r>
      <w:r w:rsidR="00E53A33">
        <w:t xml:space="preserve"> a roadmap for development of NTTG’s </w:t>
      </w:r>
      <w:r w:rsidR="00162E14">
        <w:t>Regional Transmission P</w:t>
      </w:r>
      <w:r w:rsidR="00E53A33">
        <w:t>lan</w:t>
      </w:r>
      <w:r>
        <w:t xml:space="preserve">, the study plan will delineate the method of study to evaluate the various transmission and non-transmission </w:t>
      </w:r>
      <w:r>
        <w:lastRenderedPageBreak/>
        <w:t>alternatives</w:t>
      </w:r>
      <w:r w:rsidR="00667E74">
        <w:t xml:space="preserve"> that have been received during quarter one</w:t>
      </w:r>
      <w:r>
        <w:t xml:space="preserve">. </w:t>
      </w:r>
      <w:r w:rsidR="00E53A33">
        <w:t xml:space="preserve">The study plan will </w:t>
      </w:r>
      <w:r w:rsidR="00AD69F7">
        <w:t xml:space="preserve">be </w:t>
      </w:r>
      <w:r w:rsidR="00E53A33">
        <w:t>followed</w:t>
      </w:r>
      <w:r w:rsidR="00F530E9">
        <w:t xml:space="preserve"> as closely as possible</w:t>
      </w:r>
      <w:r w:rsidR="00E53A33">
        <w:t xml:space="preserve"> throughout the </w:t>
      </w:r>
      <w:r w:rsidR="00AD69F7">
        <w:t xml:space="preserve">biennial </w:t>
      </w:r>
      <w:r w:rsidR="00E53A33">
        <w:t xml:space="preserve">planning cycle to produce </w:t>
      </w:r>
      <w:r w:rsidR="006C6DFD">
        <w:t>NTTG</w:t>
      </w:r>
      <w:r w:rsidR="00667E74">
        <w:t xml:space="preserve"> </w:t>
      </w:r>
      <w:r w:rsidR="006C6DFD">
        <w:t>Regional Transmission</w:t>
      </w:r>
      <w:r w:rsidR="00667E74">
        <w:t xml:space="preserve"> P</w:t>
      </w:r>
      <w:r w:rsidR="00E53A33">
        <w:t>lan. If, however, unforeseen events occur that require a change to the study plan, NTTG will coordinate these changes with stakeholders through the regularly scheduled Transmission Planning committee meetings.</w:t>
      </w:r>
      <w:r>
        <w:t xml:space="preserve"> </w:t>
      </w:r>
    </w:p>
    <w:p w:rsidR="00E53A33" w:rsidRDefault="00AD69F7" w:rsidP="004732E8">
      <w:pPr>
        <w:spacing w:after="120"/>
      </w:pPr>
      <w:r>
        <w:t xml:space="preserve">The </w:t>
      </w:r>
      <w:r w:rsidR="00F530E9">
        <w:t xml:space="preserve">minimum </w:t>
      </w:r>
      <w:r w:rsidR="00623A7C">
        <w:t>information</w:t>
      </w:r>
      <w:r w:rsidR="009A4027">
        <w:t xml:space="preserve"> to be in</w:t>
      </w:r>
      <w:r>
        <w:t xml:space="preserve"> the study plan will include the following.  </w:t>
      </w:r>
    </w:p>
    <w:p w:rsidR="000216FF" w:rsidRDefault="000216FF" w:rsidP="000216FF">
      <w:pPr>
        <w:pStyle w:val="Heading2"/>
      </w:pPr>
      <w:bookmarkStart w:id="29" w:name="_Toc320179202"/>
      <w:r>
        <w:t>Goal of the Study</w:t>
      </w:r>
      <w:bookmarkEnd w:id="29"/>
    </w:p>
    <w:p w:rsidR="000216FF" w:rsidRDefault="000216FF" w:rsidP="004732E8">
      <w:pPr>
        <w:spacing w:after="120"/>
      </w:pPr>
      <w:r w:rsidRPr="000216FF">
        <w:t>NTTG’s Planning Committee will biennially prepare a long-term (</w:t>
      </w:r>
      <w:r w:rsidR="001377F2">
        <w:t xml:space="preserve">at least </w:t>
      </w:r>
      <w:r w:rsidRPr="000216FF">
        <w:t xml:space="preserve">10 year) </w:t>
      </w:r>
      <w:r w:rsidR="00162E14">
        <w:t>R</w:t>
      </w:r>
      <w:r w:rsidR="00162E14" w:rsidRPr="000216FF">
        <w:t xml:space="preserve">egional </w:t>
      </w:r>
      <w:r w:rsidR="00162E14">
        <w:t>T</w:t>
      </w:r>
      <w:r w:rsidR="00162E14" w:rsidRPr="000216FF">
        <w:t xml:space="preserve">ransmission </w:t>
      </w:r>
      <w:r w:rsidR="00162E14">
        <w:t>P</w:t>
      </w:r>
      <w:r w:rsidR="00162E14" w:rsidRPr="000216FF">
        <w:t>lan</w:t>
      </w:r>
      <w:r w:rsidRPr="000216FF">
        <w:t xml:space="preserve">. The plan will </w:t>
      </w:r>
      <w:r w:rsidR="00817F82">
        <w:t xml:space="preserve">also </w:t>
      </w:r>
      <w:r w:rsidRPr="000216FF">
        <w:t xml:space="preserve">provide strategic </w:t>
      </w:r>
      <w:r w:rsidR="00747F6F">
        <w:t xml:space="preserve">regional </w:t>
      </w:r>
      <w:r w:rsidRPr="000216FF">
        <w:t xml:space="preserve">transmission </w:t>
      </w:r>
      <w:r w:rsidR="00817F82">
        <w:t xml:space="preserve">and non-transmission </w:t>
      </w:r>
      <w:r w:rsidRPr="000216FF">
        <w:t>options (economic and reliability projects) and</w:t>
      </w:r>
      <w:r w:rsidR="00FF1D1A">
        <w:t>, if appropriate,</w:t>
      </w:r>
      <w:r w:rsidRPr="000216FF">
        <w:t xml:space="preserve"> </w:t>
      </w:r>
      <w:r w:rsidR="00FF1D1A">
        <w:t xml:space="preserve">a </w:t>
      </w:r>
      <w:r w:rsidRPr="000216FF">
        <w:t xml:space="preserve">specific plan for reinforcing the </w:t>
      </w:r>
      <w:r w:rsidR="00747F6F">
        <w:t xml:space="preserve">regional </w:t>
      </w:r>
      <w:r w:rsidRPr="000216FF">
        <w:t xml:space="preserve">transmission system. </w:t>
      </w:r>
      <w:r w:rsidR="001377F2">
        <w:t xml:space="preserve">If NTTG receives a transmission request for generation integration that is not part of the </w:t>
      </w:r>
      <w:r w:rsidR="004F1733">
        <w:t>initial</w:t>
      </w:r>
      <w:r w:rsidR="001377F2">
        <w:t xml:space="preserve"> </w:t>
      </w:r>
      <w:r w:rsidR="0009350A">
        <w:t xml:space="preserve">regional </w:t>
      </w:r>
      <w:r w:rsidR="00FE094B">
        <w:t xml:space="preserve">transmission </w:t>
      </w:r>
      <w:r w:rsidR="001377F2">
        <w:t>plan rolled up from the T</w:t>
      </w:r>
      <w:r w:rsidR="002B5194">
        <w:t xml:space="preserve">ransmission </w:t>
      </w:r>
      <w:r w:rsidR="001377F2">
        <w:t>P</w:t>
      </w:r>
      <w:r w:rsidR="002B5194">
        <w:t>roviders</w:t>
      </w:r>
      <w:r w:rsidR="001377F2">
        <w:t>,</w:t>
      </w:r>
      <w:r w:rsidR="00817F82">
        <w:t xml:space="preserve"> t</w:t>
      </w:r>
      <w:r w:rsidRPr="000216FF">
        <w:t xml:space="preserve">he </w:t>
      </w:r>
      <w:r w:rsidR="001377F2">
        <w:t xml:space="preserve">study plan may be adjusted to </w:t>
      </w:r>
      <w:r w:rsidRPr="000216FF">
        <w:t xml:space="preserve">coordinate the </w:t>
      </w:r>
      <w:r w:rsidR="001377F2">
        <w:t>evaluation of</w:t>
      </w:r>
      <w:r w:rsidRPr="000216FF">
        <w:t xml:space="preserve"> transmission congestion</w:t>
      </w:r>
      <w:r w:rsidR="00747F6F">
        <w:t xml:space="preserve"> to delivery </w:t>
      </w:r>
      <w:r w:rsidR="001377F2">
        <w:t>proposed customers</w:t>
      </w:r>
      <w:r w:rsidRPr="000216FF">
        <w:t>.</w:t>
      </w:r>
      <w:r w:rsidRPr="00585FC2">
        <w:t xml:space="preserve"> </w:t>
      </w:r>
    </w:p>
    <w:p w:rsidR="00D17EB4" w:rsidRDefault="000216FF" w:rsidP="004732E8">
      <w:pPr>
        <w:spacing w:after="120"/>
      </w:pPr>
      <w:r w:rsidRPr="000216FF">
        <w:t xml:space="preserve">The goal of NTTG’s planning study </w:t>
      </w:r>
      <w:r w:rsidR="00410C65">
        <w:t xml:space="preserve">is determined to be </w:t>
      </w:r>
      <w:r w:rsidR="00FF1D1A">
        <w:t>an</w:t>
      </w:r>
      <w:r w:rsidRPr="000216FF">
        <w:t xml:space="preserve"> efficiently and cost effective </w:t>
      </w:r>
      <w:r w:rsidR="006C6DFD">
        <w:t>R</w:t>
      </w:r>
      <w:r w:rsidR="004F1733">
        <w:t xml:space="preserve">egional </w:t>
      </w:r>
      <w:r w:rsidR="006C6DFD">
        <w:t>T</w:t>
      </w:r>
      <w:r w:rsidR="004F1733">
        <w:t xml:space="preserve">ransmission </w:t>
      </w:r>
      <w:r w:rsidR="006C6DFD">
        <w:t>P</w:t>
      </w:r>
      <w:r w:rsidR="004F1733">
        <w:t xml:space="preserve">lan </w:t>
      </w:r>
      <w:r w:rsidRPr="000216FF">
        <w:t>tha</w:t>
      </w:r>
      <w:r w:rsidR="00FF1D1A">
        <w:t>t may be different tha</w:t>
      </w:r>
      <w:r w:rsidRPr="000216FF">
        <w:t xml:space="preserve">n </w:t>
      </w:r>
      <w:r w:rsidR="0055175B">
        <w:t xml:space="preserve">the </w:t>
      </w:r>
      <w:r w:rsidRPr="000216FF">
        <w:t>roll up of the transmission providers local transmission plans.</w:t>
      </w:r>
      <w:r w:rsidR="00F530E9">
        <w:t xml:space="preserve"> </w:t>
      </w:r>
    </w:p>
    <w:p w:rsidR="00E8726C" w:rsidRDefault="0055175B" w:rsidP="004732E8">
      <w:pPr>
        <w:spacing w:after="120"/>
      </w:pPr>
      <w:r>
        <w:t xml:space="preserve">The planning study </w:t>
      </w:r>
      <w:r w:rsidRPr="000216FF">
        <w:t>will examine a limited number of scenarios of forecasted load and resource portfolios, to identify regional transmission</w:t>
      </w:r>
      <w:r>
        <w:t xml:space="preserve"> and non transmission</w:t>
      </w:r>
      <w:r w:rsidRPr="000216FF">
        <w:t xml:space="preserve"> improvements and/or new solutions that meet the regional transmission needs</w:t>
      </w:r>
      <w:r>
        <w:t xml:space="preserve">. </w:t>
      </w:r>
      <w:r w:rsidR="00F530E9">
        <w:t>Additional scenarios for information about other public policy needs may also be included in the study plan.</w:t>
      </w:r>
    </w:p>
    <w:p w:rsidR="00DF1FD9" w:rsidRDefault="00DF1FD9" w:rsidP="00DF1FD9">
      <w:pPr>
        <w:pStyle w:val="Heading2"/>
      </w:pPr>
      <w:bookmarkStart w:id="30" w:name="_Toc317087191"/>
      <w:bookmarkStart w:id="31" w:name="_Toc320179203"/>
      <w:r>
        <w:t>Regional Planning Process Deliverables</w:t>
      </w:r>
      <w:bookmarkEnd w:id="30"/>
      <w:bookmarkEnd w:id="31"/>
    </w:p>
    <w:p w:rsidR="00DF1FD9" w:rsidRDefault="006C6878" w:rsidP="00BF1A54">
      <w:pPr>
        <w:spacing w:after="120"/>
      </w:pPr>
      <w:r w:rsidRPr="00585FC2">
        <w:t xml:space="preserve">The </w:t>
      </w:r>
      <w:r>
        <w:t>deliverable</w:t>
      </w:r>
      <w:r w:rsidR="00BF1A54">
        <w:t xml:space="preserve">s from </w:t>
      </w:r>
      <w:r>
        <w:t xml:space="preserve">NTTG’s regional planning process is focused on meeting NTTG’s </w:t>
      </w:r>
      <w:r w:rsidRPr="00585FC2">
        <w:t xml:space="preserve">objective to </w:t>
      </w:r>
      <w:r>
        <w:t xml:space="preserve">develop a </w:t>
      </w:r>
      <w:r w:rsidR="006C6DFD">
        <w:t xml:space="preserve">Regional Transmission Plan </w:t>
      </w:r>
      <w:r w:rsidR="00983331">
        <w:t xml:space="preserve">that </w:t>
      </w:r>
      <w:r w:rsidRPr="00E951DA">
        <w:t>meets</w:t>
      </w:r>
      <w:r w:rsidRPr="00585FC2">
        <w:t xml:space="preserve"> the regional transmission needs more efficiently and cost effectively than a roll up of the transmission providers local transmission plans.</w:t>
      </w:r>
      <w:r w:rsidR="00BF1A54">
        <w:t xml:space="preserve"> </w:t>
      </w:r>
      <w:r w:rsidR="00DF1FD9">
        <w:t xml:space="preserve">The broad timing of the </w:t>
      </w:r>
      <w:r w:rsidR="006C6DFD">
        <w:t xml:space="preserve">Regional Transmission Plan </w:t>
      </w:r>
      <w:r w:rsidR="00DF1FD9">
        <w:t>development process and the work products to be delivered are presented in the NTTG Planning Committee Charter</w:t>
      </w:r>
      <w:r w:rsidR="00BF1A54">
        <w:t xml:space="preserve"> and described above in </w:t>
      </w:r>
      <w:r w:rsidR="006C6DFD">
        <w:t>“</w:t>
      </w:r>
      <w:r w:rsidR="00227808">
        <w:fldChar w:fldCharType="begin"/>
      </w:r>
      <w:r w:rsidR="00BF1A54">
        <w:instrText xml:space="preserve"> REF _Ref319657174 \h </w:instrText>
      </w:r>
      <w:r w:rsidR="00227808">
        <w:fldChar w:fldCharType="separate"/>
      </w:r>
      <w:r w:rsidR="00DD5414">
        <w:t>Biennial Planning Process</w:t>
      </w:r>
      <w:r w:rsidR="00227808">
        <w:fldChar w:fldCharType="end"/>
      </w:r>
      <w:r w:rsidR="006C6DFD">
        <w:t>”</w:t>
      </w:r>
      <w:r w:rsidR="00BF1A54">
        <w:t xml:space="preserve"> section and shown in </w:t>
      </w:r>
      <w:r w:rsidR="00227808">
        <w:fldChar w:fldCharType="begin"/>
      </w:r>
      <w:r w:rsidR="00BF1A54">
        <w:instrText xml:space="preserve"> REF _Ref317654857 \h </w:instrText>
      </w:r>
      <w:r w:rsidR="00227808">
        <w:fldChar w:fldCharType="separate"/>
      </w:r>
      <w:r w:rsidR="00DD5414">
        <w:t xml:space="preserve">Figure </w:t>
      </w:r>
      <w:r w:rsidR="00DD5414">
        <w:rPr>
          <w:noProof/>
        </w:rPr>
        <w:t>2</w:t>
      </w:r>
      <w:r w:rsidR="00227808">
        <w:fldChar w:fldCharType="end"/>
      </w:r>
      <w:r w:rsidR="00BF1A54">
        <w:t>. The deliverables may</w:t>
      </w:r>
      <w:r w:rsidR="00996141">
        <w:t xml:space="preserve"> be further defined</w:t>
      </w:r>
      <w:r w:rsidR="00BF1A54">
        <w:t>, with consultation from stakeholder, during the quarter two</w:t>
      </w:r>
      <w:r w:rsidR="00996141">
        <w:t xml:space="preserve"> </w:t>
      </w:r>
      <w:r w:rsidR="00BF1A54">
        <w:t xml:space="preserve">development of </w:t>
      </w:r>
      <w:r>
        <w:t>NTTG’</w:t>
      </w:r>
      <w:r w:rsidR="00996141">
        <w:t>s study plan.</w:t>
      </w:r>
    </w:p>
    <w:p w:rsidR="0045599F" w:rsidRPr="00542BF4" w:rsidRDefault="0045599F" w:rsidP="0045599F">
      <w:pPr>
        <w:pStyle w:val="Heading2"/>
      </w:pPr>
      <w:bookmarkStart w:id="32" w:name="_Toc320179204"/>
      <w:r w:rsidRPr="00542BF4">
        <w:t>Criteria for Selecting a Project into the Regional Transmission Plan</w:t>
      </w:r>
      <w:bookmarkEnd w:id="32"/>
    </w:p>
    <w:p w:rsidR="0045599F" w:rsidRPr="00542BF4" w:rsidRDefault="0045599F" w:rsidP="0045599F">
      <w:r w:rsidRPr="00542BF4">
        <w:t>To start the NTTG biennial planning process NTTG will use the bottom up approach to develop its initial</w:t>
      </w:r>
      <w:r w:rsidR="00FE094B">
        <w:t xml:space="preserve"> </w:t>
      </w:r>
      <w:r w:rsidR="0009350A">
        <w:t xml:space="preserve">regional </w:t>
      </w:r>
      <w:r w:rsidRPr="00542BF4">
        <w:t xml:space="preserve">transmission plan (see </w:t>
      </w:r>
      <w:fldSimple w:instr=" REF _Ref317654743 \h  \* MERGEFORMAT ">
        <w:r w:rsidR="00DD5414">
          <w:t xml:space="preserve">Figure </w:t>
        </w:r>
        <w:r w:rsidR="00DD5414">
          <w:rPr>
            <w:noProof/>
          </w:rPr>
          <w:t>6</w:t>
        </w:r>
      </w:fldSimple>
      <w:r w:rsidRPr="00542BF4">
        <w:t>). This initial</w:t>
      </w:r>
      <w:r w:rsidR="0009350A">
        <w:t xml:space="preserve"> regional</w:t>
      </w:r>
      <w:r w:rsidRPr="00542BF4">
        <w:t xml:space="preserve"> </w:t>
      </w:r>
      <w:r w:rsidR="00FE094B">
        <w:t xml:space="preserve">transmission </w:t>
      </w:r>
      <w:r w:rsidRPr="00542BF4">
        <w:t xml:space="preserve">plan will be the basis from which alternative transmission and non-transmission solutions (incorporating stakeholder projects submitted during quarters </w:t>
      </w:r>
      <w:r>
        <w:t>one</w:t>
      </w:r>
      <w:r w:rsidRPr="00542BF4">
        <w:t xml:space="preserve"> and </w:t>
      </w:r>
      <w:r>
        <w:t>five</w:t>
      </w:r>
      <w:r w:rsidRPr="00542BF4">
        <w:t xml:space="preserve">) will be analyzed. The resulting </w:t>
      </w:r>
      <w:r w:rsidR="006C6DFD">
        <w:t>R</w:t>
      </w:r>
      <w:r w:rsidR="00362A63">
        <w:t xml:space="preserve">egional </w:t>
      </w:r>
      <w:r w:rsidR="006C6DFD">
        <w:t>T</w:t>
      </w:r>
      <w:r w:rsidR="00362A63">
        <w:t xml:space="preserve">ransmission </w:t>
      </w:r>
      <w:r w:rsidR="006C6DFD">
        <w:t>P</w:t>
      </w:r>
      <w:r w:rsidR="006C6DFD" w:rsidRPr="00542BF4">
        <w:t xml:space="preserve">lan </w:t>
      </w:r>
      <w:r w:rsidR="00362A63">
        <w:t xml:space="preserve">will </w:t>
      </w:r>
      <w:r w:rsidRPr="00542BF4">
        <w:t>meet the needs of the NTTG footprint efficiently or cost effectively. NTTG applies the following definition to these terms.</w:t>
      </w:r>
    </w:p>
    <w:p w:rsidR="0045599F" w:rsidRPr="00542BF4" w:rsidRDefault="0045599F" w:rsidP="00FF1D1A">
      <w:pPr>
        <w:pStyle w:val="Heading3"/>
      </w:pPr>
      <w:bookmarkStart w:id="33" w:name="_Toc320179205"/>
      <w:r w:rsidRPr="00542BF4">
        <w:t>More Efficient or Cost-Effective</w:t>
      </w:r>
      <w:bookmarkEnd w:id="33"/>
      <w:r w:rsidRPr="00542BF4">
        <w:t xml:space="preserve"> </w:t>
      </w:r>
    </w:p>
    <w:p w:rsidR="0045599F" w:rsidRPr="00807E21" w:rsidRDefault="0045599F" w:rsidP="0045599F">
      <w:r w:rsidRPr="00807E21">
        <w:t xml:space="preserve">At a minimum a more efficient </w:t>
      </w:r>
      <w:r w:rsidR="004A5058">
        <w:t>R</w:t>
      </w:r>
      <w:r w:rsidR="004A5058" w:rsidRPr="00807E21">
        <w:t xml:space="preserve">egional </w:t>
      </w:r>
      <w:r w:rsidR="004A5058">
        <w:t>T</w:t>
      </w:r>
      <w:r>
        <w:t xml:space="preserve">ransmission </w:t>
      </w:r>
      <w:r w:rsidR="004A5058">
        <w:t>P</w:t>
      </w:r>
      <w:r w:rsidRPr="00807E21">
        <w:t>lan will accomplish some or all of the following.</w:t>
      </w:r>
    </w:p>
    <w:p w:rsidR="0045599F" w:rsidRDefault="0045599F" w:rsidP="0045599F">
      <w:pPr>
        <w:numPr>
          <w:ilvl w:val="0"/>
          <w:numId w:val="21"/>
        </w:numPr>
        <w:spacing w:after="0"/>
      </w:pPr>
      <w:r w:rsidRPr="00807E21">
        <w:lastRenderedPageBreak/>
        <w:t xml:space="preserve">The </w:t>
      </w:r>
      <w:r w:rsidR="006C6DFD">
        <w:t>p</w:t>
      </w:r>
      <w:r w:rsidRPr="00807E21">
        <w:t xml:space="preserve">lan meets the needs of the transmission providers </w:t>
      </w:r>
      <w:r w:rsidR="00B22C63">
        <w:t xml:space="preserve">or regional needs </w:t>
      </w:r>
      <w:r w:rsidRPr="00807E21">
        <w:t>in a manner that is roughly commensurate as the initial</w:t>
      </w:r>
      <w:r w:rsidR="0009350A">
        <w:t xml:space="preserve"> transmission</w:t>
      </w:r>
      <w:r w:rsidRPr="00807E21">
        <w:t xml:space="preserve"> regional plan.</w:t>
      </w:r>
    </w:p>
    <w:p w:rsidR="0045599F" w:rsidRPr="00807E21" w:rsidRDefault="0045599F" w:rsidP="0045599F">
      <w:pPr>
        <w:numPr>
          <w:ilvl w:val="0"/>
          <w:numId w:val="21"/>
        </w:numPr>
        <w:spacing w:after="0"/>
      </w:pPr>
      <w:r>
        <w:t xml:space="preserve">The </w:t>
      </w:r>
      <w:r w:rsidR="006C6DFD">
        <w:t>p</w:t>
      </w:r>
      <w:r w:rsidR="001E17F6" w:rsidRPr="00807E21">
        <w:t>lan</w:t>
      </w:r>
      <w:r>
        <w:t xml:space="preserve"> must be developable. That is, any new project selected in the </w:t>
      </w:r>
      <w:r w:rsidR="006C6DFD">
        <w:t xml:space="preserve">Regional Transmission </w:t>
      </w:r>
      <w:r w:rsidR="001E17F6">
        <w:t>P</w:t>
      </w:r>
      <w:r w:rsidR="001E17F6" w:rsidRPr="00807E21">
        <w:t>lan</w:t>
      </w:r>
      <w:r>
        <w:t xml:space="preserve"> must be able to meet the timeframe (</w:t>
      </w:r>
      <w:r w:rsidR="001E17F6">
        <w:t xml:space="preserve">e.g., </w:t>
      </w:r>
      <w:r>
        <w:t>year) when it is needed</w:t>
      </w:r>
      <w:r w:rsidR="001E17F6">
        <w:t xml:space="preserve"> to maintain reliability and service needs</w:t>
      </w:r>
      <w:r>
        <w:t>.</w:t>
      </w:r>
    </w:p>
    <w:p w:rsidR="0045599F" w:rsidRDefault="0045599F" w:rsidP="0045599F">
      <w:pPr>
        <w:numPr>
          <w:ilvl w:val="0"/>
          <w:numId w:val="21"/>
        </w:numPr>
        <w:spacing w:after="0"/>
      </w:pPr>
      <w:r w:rsidRPr="00807E21">
        <w:t xml:space="preserve">The reliability performance of the </w:t>
      </w:r>
      <w:r w:rsidR="006C6DFD">
        <w:t xml:space="preserve">Regional Transmission </w:t>
      </w:r>
      <w:r w:rsidR="001E17F6">
        <w:t>P</w:t>
      </w:r>
      <w:r w:rsidR="001E17F6" w:rsidRPr="00807E21">
        <w:t xml:space="preserve">lan </w:t>
      </w:r>
      <w:r w:rsidRPr="00807E21">
        <w:t xml:space="preserve">measured </w:t>
      </w:r>
      <w:r w:rsidR="001E17F6">
        <w:t>by appropriate engineering data/results (</w:t>
      </w:r>
      <w:proofErr w:type="spellStart"/>
      <w:r w:rsidR="001E17F6">
        <w:t>e.g</w:t>
      </w:r>
      <w:proofErr w:type="spellEnd"/>
      <w:r w:rsidR="001E17F6">
        <w:t xml:space="preserve">, </w:t>
      </w:r>
      <w:r w:rsidRPr="00807E21">
        <w:t>through N-0, N-1 voltage and thermal performance</w:t>
      </w:r>
      <w:r w:rsidR="001E17F6">
        <w:t>)</w:t>
      </w:r>
      <w:r w:rsidRPr="00807E21">
        <w:t xml:space="preserve"> is equal to or better than the initial regional</w:t>
      </w:r>
      <w:r w:rsidR="0009350A">
        <w:t xml:space="preserve"> transmission</w:t>
      </w:r>
      <w:r w:rsidRPr="00807E21">
        <w:t xml:space="preserve"> plan.</w:t>
      </w:r>
    </w:p>
    <w:p w:rsidR="0045599F" w:rsidRPr="00807E21" w:rsidRDefault="0045599F" w:rsidP="0045599F">
      <w:pPr>
        <w:numPr>
          <w:ilvl w:val="0"/>
          <w:numId w:val="21"/>
        </w:numPr>
        <w:spacing w:after="0"/>
      </w:pPr>
      <w:r>
        <w:t xml:space="preserve">The congestion of the </w:t>
      </w:r>
      <w:r w:rsidR="006C6DFD">
        <w:t xml:space="preserve">Regional Transmission </w:t>
      </w:r>
      <w:r w:rsidR="001E17F6">
        <w:t>P</w:t>
      </w:r>
      <w:r w:rsidR="001E17F6" w:rsidRPr="00807E21">
        <w:t>lan</w:t>
      </w:r>
      <w:r>
        <w:t xml:space="preserve">, as measured through production cost simulation, will not be greater than the congestion of the initial regional </w:t>
      </w:r>
      <w:r w:rsidR="0009350A">
        <w:t xml:space="preserve">transmission </w:t>
      </w:r>
      <w:r>
        <w:t>plan.</w:t>
      </w:r>
    </w:p>
    <w:p w:rsidR="0045599F" w:rsidRPr="00807E21" w:rsidRDefault="0045599F" w:rsidP="00FF1D1A">
      <w:pPr>
        <w:numPr>
          <w:ilvl w:val="0"/>
          <w:numId w:val="21"/>
        </w:numPr>
        <w:spacing w:after="120"/>
      </w:pPr>
      <w:r w:rsidRPr="00807E21">
        <w:t xml:space="preserve">The </w:t>
      </w:r>
      <w:r w:rsidR="006C6DFD">
        <w:t xml:space="preserve">Regional Transmission </w:t>
      </w:r>
      <w:r w:rsidR="001E17F6">
        <w:t>P</w:t>
      </w:r>
      <w:r w:rsidR="001E17F6" w:rsidRPr="00807E21">
        <w:t>lan</w:t>
      </w:r>
      <w:r w:rsidRPr="00807E21">
        <w:t xml:space="preserve"> does not accelerate any future problem (e.g., voltage or thermal problem) into the planning horizon unless the total cost of the plan, including any mitigation cost to eliminate the problem, is no greater than the initial regional </w:t>
      </w:r>
      <w:r w:rsidR="0009350A">
        <w:t xml:space="preserve">transmission </w:t>
      </w:r>
      <w:r w:rsidRPr="00807E21">
        <w:t>plan and there is sufficient time to mitigate the accelerated problem.</w:t>
      </w:r>
    </w:p>
    <w:p w:rsidR="004F15B9" w:rsidRDefault="00FF1D1A" w:rsidP="00FF1D1A">
      <w:pPr>
        <w:pStyle w:val="Heading3"/>
      </w:pPr>
      <w:bookmarkStart w:id="34" w:name="_Toc320179206"/>
      <w:r>
        <w:t>More Cost Effective</w:t>
      </w:r>
      <w:bookmarkEnd w:id="34"/>
    </w:p>
    <w:p w:rsidR="0045599F" w:rsidRPr="004B293B" w:rsidRDefault="0045599F" w:rsidP="0045599F">
      <w:pPr>
        <w:spacing w:after="120"/>
      </w:pPr>
      <w:r w:rsidRPr="004B293B">
        <w:t>At a minimum a more cost effective regional plan will accomplish some or all the following.</w:t>
      </w:r>
    </w:p>
    <w:p w:rsidR="0045599F" w:rsidRPr="004B293B" w:rsidRDefault="0045599F" w:rsidP="0045599F">
      <w:pPr>
        <w:numPr>
          <w:ilvl w:val="0"/>
          <w:numId w:val="21"/>
        </w:numPr>
        <w:spacing w:after="0"/>
      </w:pPr>
      <w:r w:rsidRPr="004B293B">
        <w:t xml:space="preserve">The </w:t>
      </w:r>
      <w:r w:rsidR="00132378">
        <w:t xml:space="preserve">Regional Transmission </w:t>
      </w:r>
      <w:r w:rsidR="001E17F6">
        <w:t>P</w:t>
      </w:r>
      <w:r w:rsidR="001E17F6" w:rsidRPr="00807E21">
        <w:t>lan</w:t>
      </w:r>
      <w:r w:rsidRPr="004B293B">
        <w:t xml:space="preserve"> total incremental capital cost is less than or equal to the initial </w:t>
      </w:r>
      <w:r w:rsidR="0009350A">
        <w:t xml:space="preserve">regional transmission </w:t>
      </w:r>
      <w:r w:rsidRPr="004B293B">
        <w:t>plan.</w:t>
      </w:r>
    </w:p>
    <w:p w:rsidR="0045599F" w:rsidRDefault="0045599F" w:rsidP="00F530E9">
      <w:pPr>
        <w:numPr>
          <w:ilvl w:val="0"/>
          <w:numId w:val="21"/>
        </w:numPr>
        <w:spacing w:after="120"/>
      </w:pPr>
      <w:r w:rsidRPr="004B293B">
        <w:t xml:space="preserve">The total production cost of the </w:t>
      </w:r>
      <w:r w:rsidR="00132378">
        <w:t xml:space="preserve">Regional Transmission </w:t>
      </w:r>
      <w:r w:rsidR="001E17F6">
        <w:t>P</w:t>
      </w:r>
      <w:r w:rsidR="001E17F6" w:rsidRPr="00807E21">
        <w:t>lan</w:t>
      </w:r>
      <w:r w:rsidRPr="004B293B">
        <w:t xml:space="preserve"> is less than or equal to the initial </w:t>
      </w:r>
      <w:r w:rsidR="0009350A">
        <w:t xml:space="preserve">regional transmission </w:t>
      </w:r>
      <w:r w:rsidRPr="004B293B">
        <w:t>plan.</w:t>
      </w:r>
    </w:p>
    <w:p w:rsidR="00FF1D1A" w:rsidRPr="004B293B" w:rsidRDefault="00FF1D1A" w:rsidP="00F530E9">
      <w:pPr>
        <w:numPr>
          <w:ilvl w:val="0"/>
          <w:numId w:val="21"/>
        </w:numPr>
        <w:spacing w:after="120"/>
      </w:pPr>
      <w:r>
        <w:t>Or, the sum of the incremental capital cost and production cost</w:t>
      </w:r>
      <w:r w:rsidR="00132378">
        <w:t xml:space="preserve"> of the Regional Transmission Plan</w:t>
      </w:r>
      <w:r>
        <w:t xml:space="preserve"> will less than or equal to the initial </w:t>
      </w:r>
      <w:r w:rsidR="0009350A">
        <w:t xml:space="preserve">regional transmission </w:t>
      </w:r>
      <w:r>
        <w:t>plan.</w:t>
      </w:r>
    </w:p>
    <w:p w:rsidR="0045599F" w:rsidRPr="001C415C" w:rsidRDefault="0045599F" w:rsidP="0045599F">
      <w:r>
        <w:t xml:space="preserve">The study plan that is developed in the second quarter of the biennial planning cycle may modify the efficient and cost effective selection criteria </w:t>
      </w:r>
      <w:r w:rsidR="001E17F6">
        <w:t xml:space="preserve">describe above </w:t>
      </w:r>
      <w:r>
        <w:t xml:space="preserve">after consultation with stakeholders.   </w:t>
      </w:r>
      <w:r w:rsidR="00235AB9">
        <w:t xml:space="preserve">Steering committee </w:t>
      </w:r>
      <w:r w:rsidR="00606533">
        <w:t xml:space="preserve">must </w:t>
      </w:r>
      <w:r w:rsidR="00235AB9">
        <w:t>approve the study plan.</w:t>
      </w:r>
    </w:p>
    <w:p w:rsidR="0045599F" w:rsidRPr="008D2530" w:rsidRDefault="0045599F" w:rsidP="0045599F">
      <w:pPr>
        <w:pStyle w:val="Heading2"/>
      </w:pPr>
      <w:bookmarkStart w:id="35" w:name="_Toc320179207"/>
      <w:r w:rsidRPr="008D2530">
        <w:t>Reevaluation Due to Delay of Development when Selected in the Regional Plan for Cost Allocation</w:t>
      </w:r>
      <w:bookmarkEnd w:id="35"/>
    </w:p>
    <w:p w:rsidR="0045599F" w:rsidRDefault="0045599F" w:rsidP="00FF1D1A">
      <w:pPr>
        <w:spacing w:after="120"/>
        <w:rPr>
          <w:rFonts w:cs="Arial"/>
        </w:rPr>
      </w:pPr>
      <w:r>
        <w:rPr>
          <w:rFonts w:cs="Arial"/>
        </w:rPr>
        <w:t xml:space="preserve">As shown in </w:t>
      </w:r>
      <w:r w:rsidR="00227808">
        <w:rPr>
          <w:rFonts w:cs="Arial"/>
        </w:rPr>
        <w:fldChar w:fldCharType="begin"/>
      </w:r>
      <w:r>
        <w:rPr>
          <w:rFonts w:cs="Arial"/>
        </w:rPr>
        <w:instrText xml:space="preserve"> REF _Ref317654743 \h </w:instrText>
      </w:r>
      <w:r w:rsidR="00227808">
        <w:rPr>
          <w:rFonts w:cs="Arial"/>
        </w:rPr>
      </w:r>
      <w:r w:rsidR="00227808">
        <w:rPr>
          <w:rFonts w:cs="Arial"/>
        </w:rPr>
        <w:fldChar w:fldCharType="separate"/>
      </w:r>
      <w:r w:rsidR="00DD5414">
        <w:t xml:space="preserve">Figure </w:t>
      </w:r>
      <w:r w:rsidR="00DD5414">
        <w:rPr>
          <w:noProof/>
        </w:rPr>
        <w:t>6</w:t>
      </w:r>
      <w:r w:rsidR="00227808">
        <w:rPr>
          <w:rFonts w:cs="Arial"/>
        </w:rPr>
        <w:fldChar w:fldCharType="end"/>
      </w:r>
      <w:r>
        <w:rPr>
          <w:rFonts w:cs="Arial"/>
        </w:rPr>
        <w:t xml:space="preserve"> the NTTG’s initial </w:t>
      </w:r>
      <w:r w:rsidR="0009350A">
        <w:rPr>
          <w:rFonts w:cs="Arial"/>
        </w:rPr>
        <w:t xml:space="preserve">regional </w:t>
      </w:r>
      <w:r w:rsidR="00FE094B">
        <w:rPr>
          <w:rFonts w:cs="Arial"/>
        </w:rPr>
        <w:t xml:space="preserve">transmission </w:t>
      </w:r>
      <w:r>
        <w:rPr>
          <w:rFonts w:cs="Arial"/>
        </w:rPr>
        <w:t xml:space="preserve">plan is a roll up of the transmission providers’ local transmission plans that meet the transmission providers’ reliability needs and service obligations. A transmission provider (or providers) solutions in their local plan maybe displaced during NTTG’s </w:t>
      </w:r>
      <w:r w:rsidR="00730A7F">
        <w:rPr>
          <w:rFonts w:cs="Arial"/>
        </w:rPr>
        <w:t xml:space="preserve">regional </w:t>
      </w:r>
      <w:r>
        <w:rPr>
          <w:rFonts w:cs="Arial"/>
        </w:rPr>
        <w:t>biennial planning process by a regional solution that is selected in NTTG</w:t>
      </w:r>
      <w:r w:rsidR="003F7499">
        <w:rPr>
          <w:rFonts w:cs="Arial"/>
        </w:rPr>
        <w:t xml:space="preserve"> Regional Transmission Plan</w:t>
      </w:r>
      <w:r>
        <w:rPr>
          <w:rFonts w:cs="Arial"/>
        </w:rPr>
        <w:t xml:space="preserve"> for </w:t>
      </w:r>
      <w:r w:rsidR="00730A7F">
        <w:rPr>
          <w:rFonts w:cs="Arial"/>
        </w:rPr>
        <w:t xml:space="preserve">regional </w:t>
      </w:r>
      <w:r>
        <w:rPr>
          <w:rFonts w:cs="Arial"/>
        </w:rPr>
        <w:t xml:space="preserve">cost allocation. </w:t>
      </w:r>
      <w:r w:rsidR="00730A7F">
        <w:rPr>
          <w:rFonts w:cs="Arial"/>
        </w:rPr>
        <w:t xml:space="preserve">Should this displacement in the </w:t>
      </w:r>
      <w:r w:rsidR="004A5058">
        <w:rPr>
          <w:rFonts w:cs="Arial"/>
        </w:rPr>
        <w:t>R</w:t>
      </w:r>
      <w:r w:rsidR="00730A7F">
        <w:rPr>
          <w:rFonts w:cs="Arial"/>
        </w:rPr>
        <w:t xml:space="preserve">egional </w:t>
      </w:r>
      <w:r w:rsidR="004A5058">
        <w:rPr>
          <w:rFonts w:cs="Arial"/>
        </w:rPr>
        <w:t>T</w:t>
      </w:r>
      <w:r w:rsidR="00730A7F">
        <w:rPr>
          <w:rFonts w:cs="Arial"/>
        </w:rPr>
        <w:t xml:space="preserve">ransmission </w:t>
      </w:r>
      <w:r w:rsidR="004A5058">
        <w:rPr>
          <w:rFonts w:cs="Arial"/>
        </w:rPr>
        <w:t>P</w:t>
      </w:r>
      <w:r w:rsidR="00730A7F">
        <w:rPr>
          <w:rFonts w:cs="Arial"/>
        </w:rPr>
        <w:t>lan occur, t</w:t>
      </w:r>
      <w:r>
        <w:rPr>
          <w:rFonts w:cs="Arial"/>
        </w:rPr>
        <w:t xml:space="preserve">he transmission provider(s) may choose to modify their local transmission plan(s) to include NTTG’s </w:t>
      </w:r>
      <w:r w:rsidR="00730A7F">
        <w:rPr>
          <w:rFonts w:cs="Arial"/>
        </w:rPr>
        <w:t xml:space="preserve">regional solution that is selected in the Regional Transmission Plan for regional cost </w:t>
      </w:r>
      <w:proofErr w:type="gramStart"/>
      <w:r w:rsidR="00730A7F">
        <w:rPr>
          <w:rFonts w:cs="Arial"/>
        </w:rPr>
        <w:t>allocation</w:t>
      </w:r>
      <w:r>
        <w:rPr>
          <w:rFonts w:cs="Arial"/>
        </w:rPr>
        <w:t>.</w:t>
      </w:r>
      <w:proofErr w:type="gramEnd"/>
      <w:r>
        <w:rPr>
          <w:rFonts w:cs="Arial"/>
        </w:rPr>
        <w:t xml:space="preserve"> </w:t>
      </w:r>
      <w:r w:rsidRPr="00606533">
        <w:rPr>
          <w:rFonts w:cs="Arial"/>
        </w:rPr>
        <w:t>Assuming this is the case, it is the responsibility of the transmission provider(s) to monitor the development of the regional project through progress reports that must be submitted to the transmission provider(s) by the regional project developer.</w:t>
      </w:r>
    </w:p>
    <w:p w:rsidR="0045599F" w:rsidRDefault="00730A7F" w:rsidP="0045599F">
      <w:pPr>
        <w:keepNext/>
        <w:rPr>
          <w:rFonts w:cs="Arial"/>
        </w:rPr>
      </w:pPr>
      <w:r>
        <w:rPr>
          <w:rFonts w:cs="Arial"/>
        </w:rPr>
        <w:lastRenderedPageBreak/>
        <w:t xml:space="preserve">If the regional solution that is selected in the Regional Transmission Plan for regional cost allocation experiences a delay, the affected </w:t>
      </w:r>
      <w:r w:rsidR="003F7499">
        <w:rPr>
          <w:rFonts w:cs="Arial"/>
        </w:rPr>
        <w:t>transmission provider</w:t>
      </w:r>
      <w:r>
        <w:rPr>
          <w:rFonts w:cs="Arial"/>
        </w:rPr>
        <w:t>s</w:t>
      </w:r>
      <w:r w:rsidR="003F7499">
        <w:rPr>
          <w:rFonts w:cs="Arial"/>
        </w:rPr>
        <w:t xml:space="preserve"> ha</w:t>
      </w:r>
      <w:r>
        <w:rPr>
          <w:rFonts w:cs="Arial"/>
        </w:rPr>
        <w:t>ve</w:t>
      </w:r>
      <w:r w:rsidR="003F7499">
        <w:rPr>
          <w:rFonts w:cs="Arial"/>
        </w:rPr>
        <w:t xml:space="preserve"> several choices i</w:t>
      </w:r>
      <w:r w:rsidR="0045599F">
        <w:rPr>
          <w:rFonts w:cs="Arial"/>
        </w:rPr>
        <w:t xml:space="preserve">f the </w:t>
      </w:r>
      <w:r w:rsidR="003F7499">
        <w:rPr>
          <w:rFonts w:cs="Arial"/>
        </w:rPr>
        <w:t>delay</w:t>
      </w:r>
      <w:r w:rsidR="0045599F">
        <w:rPr>
          <w:rFonts w:cs="Arial"/>
        </w:rPr>
        <w:t xml:space="preserve"> may jeopardize the transmission provider’s reliability needs or service obligations</w:t>
      </w:r>
      <w:r w:rsidR="003F7499">
        <w:rPr>
          <w:rFonts w:cs="Arial"/>
        </w:rPr>
        <w:t>.  The choice</w:t>
      </w:r>
      <w:r w:rsidR="00F530E9">
        <w:rPr>
          <w:rFonts w:cs="Arial"/>
        </w:rPr>
        <w:t>s</w:t>
      </w:r>
      <w:r w:rsidR="003F7499">
        <w:rPr>
          <w:rFonts w:cs="Arial"/>
        </w:rPr>
        <w:t xml:space="preserve"> include the following.</w:t>
      </w:r>
    </w:p>
    <w:p w:rsidR="0045599F" w:rsidRDefault="0045599F" w:rsidP="0045599F">
      <w:pPr>
        <w:keepNext/>
        <w:numPr>
          <w:ilvl w:val="0"/>
          <w:numId w:val="26"/>
        </w:numPr>
        <w:rPr>
          <w:rFonts w:cs="Arial"/>
        </w:rPr>
      </w:pPr>
      <w:r>
        <w:rPr>
          <w:rFonts w:cs="Arial"/>
        </w:rPr>
        <w:t xml:space="preserve">The transmission provider(s) may choose to have </w:t>
      </w:r>
      <w:r w:rsidR="00730A7F">
        <w:rPr>
          <w:rFonts w:cs="Arial"/>
        </w:rPr>
        <w:t xml:space="preserve">effects of </w:t>
      </w:r>
      <w:r>
        <w:rPr>
          <w:rFonts w:cs="Arial"/>
        </w:rPr>
        <w:t xml:space="preserve">the delay evaluated through NTTG’s regional biennial planning process by examining the impact to the transmission provider reliability needs or service obligations or </w:t>
      </w:r>
      <w:r w:rsidR="00730A7F">
        <w:rPr>
          <w:rFonts w:cs="Arial"/>
        </w:rPr>
        <w:t xml:space="preserve">by </w:t>
      </w:r>
      <w:r>
        <w:rPr>
          <w:rFonts w:cs="Arial"/>
        </w:rPr>
        <w:t xml:space="preserve">define </w:t>
      </w:r>
      <w:r w:rsidR="00730A7F">
        <w:rPr>
          <w:rFonts w:cs="Arial"/>
        </w:rPr>
        <w:t xml:space="preserve">an </w:t>
      </w:r>
      <w:r>
        <w:rPr>
          <w:rFonts w:cs="Arial"/>
        </w:rPr>
        <w:t xml:space="preserve">alternative </w:t>
      </w:r>
      <w:r w:rsidR="003F7499">
        <w:rPr>
          <w:rFonts w:cs="Arial"/>
        </w:rPr>
        <w:t xml:space="preserve">regional </w:t>
      </w:r>
      <w:r>
        <w:rPr>
          <w:rFonts w:cs="Arial"/>
        </w:rPr>
        <w:t xml:space="preserve">solution.  NTTG Planning cycle is a two year process which accommodates a feedback process in quarters one and five that will allow a reevaluation of those transmission projects selected in the </w:t>
      </w:r>
      <w:r w:rsidR="00132378">
        <w:rPr>
          <w:rFonts w:cs="Arial"/>
        </w:rPr>
        <w:t xml:space="preserve">Regional Transmission </w:t>
      </w:r>
      <w:r w:rsidR="00F966AE">
        <w:rPr>
          <w:rFonts w:cs="Arial"/>
        </w:rPr>
        <w:t xml:space="preserve">Plan </w:t>
      </w:r>
      <w:r>
        <w:rPr>
          <w:rFonts w:cs="Arial"/>
        </w:rPr>
        <w:t>for cost allocation</w:t>
      </w:r>
      <w:r w:rsidR="002D1DF5">
        <w:rPr>
          <w:rFonts w:cs="Arial"/>
        </w:rPr>
        <w:t xml:space="preserve"> if delayed</w:t>
      </w:r>
      <w:r>
        <w:rPr>
          <w:rFonts w:cs="Arial"/>
        </w:rPr>
        <w:t>. Cost allocation status for the delayed project would be suspended until the reevaluation is complete.</w:t>
      </w:r>
    </w:p>
    <w:p w:rsidR="0045599F" w:rsidRPr="00010B13" w:rsidRDefault="0045599F" w:rsidP="0045599F">
      <w:pPr>
        <w:keepNext/>
        <w:numPr>
          <w:ilvl w:val="0"/>
          <w:numId w:val="26"/>
        </w:numPr>
      </w:pPr>
      <w:r>
        <w:rPr>
          <w:rFonts w:cs="Arial"/>
        </w:rPr>
        <w:t xml:space="preserve">The transmission provider(s) may choose revise their local plan back to the original local plan </w:t>
      </w:r>
      <w:r w:rsidR="00F966AE">
        <w:rPr>
          <w:rFonts w:cs="Arial"/>
        </w:rPr>
        <w:t xml:space="preserve">project </w:t>
      </w:r>
      <w:r>
        <w:rPr>
          <w:rFonts w:cs="Arial"/>
        </w:rPr>
        <w:t>that was rolled up to build NTTG’s initial</w:t>
      </w:r>
      <w:r w:rsidR="0009350A">
        <w:rPr>
          <w:rFonts w:cs="Arial"/>
        </w:rPr>
        <w:t xml:space="preserve"> regional</w:t>
      </w:r>
      <w:r>
        <w:rPr>
          <w:rFonts w:cs="Arial"/>
        </w:rPr>
        <w:t xml:space="preserve"> </w:t>
      </w:r>
      <w:r w:rsidR="00FE094B">
        <w:rPr>
          <w:rFonts w:cs="Arial"/>
        </w:rPr>
        <w:t xml:space="preserve">transmission </w:t>
      </w:r>
      <w:r>
        <w:rPr>
          <w:rFonts w:cs="Arial"/>
        </w:rPr>
        <w:t>plan.  The cost allocation status for the delayed project w</w:t>
      </w:r>
      <w:r w:rsidR="00F966AE">
        <w:rPr>
          <w:rFonts w:cs="Arial"/>
        </w:rPr>
        <w:t xml:space="preserve">ill </w:t>
      </w:r>
      <w:r>
        <w:rPr>
          <w:rFonts w:cs="Arial"/>
        </w:rPr>
        <w:t>be suspended.</w:t>
      </w:r>
    </w:p>
    <w:p w:rsidR="0045599F" w:rsidRPr="00010B13" w:rsidRDefault="0045599F" w:rsidP="0045599F">
      <w:pPr>
        <w:keepNext/>
        <w:numPr>
          <w:ilvl w:val="0"/>
          <w:numId w:val="26"/>
        </w:numPr>
      </w:pPr>
    </w:p>
    <w:p w:rsidR="003024CF" w:rsidRPr="000216FF" w:rsidRDefault="003024CF" w:rsidP="006052B1">
      <w:pPr>
        <w:pStyle w:val="Heading2"/>
      </w:pPr>
      <w:bookmarkStart w:id="36" w:name="_Toc320179208"/>
      <w:r w:rsidRPr="000216FF">
        <w:t>Methodology</w:t>
      </w:r>
      <w:bookmarkEnd w:id="36"/>
    </w:p>
    <w:p w:rsidR="009B3BC3" w:rsidRDefault="009B3BC3" w:rsidP="005A132A">
      <w:pPr>
        <w:pStyle w:val="Heading3"/>
      </w:pPr>
      <w:bookmarkStart w:id="37" w:name="_Toc320179209"/>
      <w:r>
        <w:t>Assumptions</w:t>
      </w:r>
      <w:bookmarkEnd w:id="37"/>
    </w:p>
    <w:p w:rsidR="009B3BC3" w:rsidRDefault="009B3BC3" w:rsidP="004732E8">
      <w:pPr>
        <w:pStyle w:val="ListParagraph"/>
        <w:spacing w:after="120"/>
        <w:ind w:left="0"/>
      </w:pPr>
      <w:r>
        <w:t>The study plan will define the scenarios to be studied and the appropriate load and resources and transmission assumptions for the study.</w:t>
      </w:r>
    </w:p>
    <w:p w:rsidR="00E52426" w:rsidRDefault="00E52426" w:rsidP="005A132A">
      <w:pPr>
        <w:pStyle w:val="Heading3"/>
      </w:pPr>
      <w:bookmarkStart w:id="38" w:name="_Toc320179210"/>
      <w:r>
        <w:t>Time Frame</w:t>
      </w:r>
      <w:bookmarkEnd w:id="38"/>
    </w:p>
    <w:p w:rsidR="00FD3B56" w:rsidRDefault="00831713" w:rsidP="004732E8">
      <w:pPr>
        <w:pStyle w:val="ListParagraph"/>
        <w:spacing w:after="120"/>
        <w:ind w:left="0"/>
        <w:contextualSpacing w:val="0"/>
      </w:pPr>
      <w:r>
        <w:t xml:space="preserve">The study plan will </w:t>
      </w:r>
      <w:r w:rsidR="00F717FB" w:rsidRPr="00905929">
        <w:t>biennially prepare a long-term (</w:t>
      </w:r>
      <w:r w:rsidR="00410C65">
        <w:t xml:space="preserve">up to </w:t>
      </w:r>
      <w:r w:rsidR="00F717FB" w:rsidRPr="00905929">
        <w:t>10 year) bulk transmission expansion plan.</w:t>
      </w:r>
      <w:r w:rsidR="00905929">
        <w:t xml:space="preserve"> </w:t>
      </w:r>
      <w:r w:rsidR="00094011">
        <w:t>To the extent that is practical, the planning process will use a</w:t>
      </w:r>
      <w:r w:rsidR="00FD3B56" w:rsidRPr="00905929">
        <w:t xml:space="preserve"> </w:t>
      </w:r>
      <w:r w:rsidR="00094011">
        <w:t>recen</w:t>
      </w:r>
      <w:r w:rsidR="00955703" w:rsidRPr="00905929">
        <w:t>t</w:t>
      </w:r>
      <w:r w:rsidR="00094011">
        <w:t>ly</w:t>
      </w:r>
      <w:r w:rsidR="00955703" w:rsidRPr="00905929">
        <w:t xml:space="preserve"> TEPPC study </w:t>
      </w:r>
      <w:r w:rsidR="00094011">
        <w:t>base case that closely matches NTTG’s long-term planning horizon</w:t>
      </w:r>
      <w:r w:rsidR="00FD3B56" w:rsidRPr="00905929">
        <w:t>.</w:t>
      </w:r>
    </w:p>
    <w:p w:rsidR="00831713" w:rsidRPr="00905929" w:rsidRDefault="00831713" w:rsidP="005A132A">
      <w:pPr>
        <w:pStyle w:val="Heading3"/>
      </w:pPr>
      <w:bookmarkStart w:id="39" w:name="_Ref319674379"/>
      <w:bookmarkStart w:id="40" w:name="_Toc320179211"/>
      <w:r>
        <w:t>Study Technique</w:t>
      </w:r>
      <w:bookmarkEnd w:id="39"/>
      <w:bookmarkEnd w:id="40"/>
    </w:p>
    <w:p w:rsidR="00E4575A" w:rsidRDefault="00831713" w:rsidP="004732E8">
      <w:pPr>
        <w:spacing w:after="120"/>
      </w:pPr>
      <w:r>
        <w:t>The study plan will also describe the study techniques that will be used to analyze the regional transmission system, which may include some combination of power</w:t>
      </w:r>
      <w:r w:rsidR="00915286">
        <w:t xml:space="preserve"> </w:t>
      </w:r>
      <w:r>
        <w:t xml:space="preserve">flow modeling and production cost modeling. For example, the </w:t>
      </w:r>
      <w:r w:rsidR="00E4575A">
        <w:t xml:space="preserve">NTTG </w:t>
      </w:r>
      <w:r>
        <w:t xml:space="preserve">biennial study may </w:t>
      </w:r>
      <w:r w:rsidR="00E4575A">
        <w:t>examine the</w:t>
      </w:r>
      <w:r w:rsidR="00905929">
        <w:t xml:space="preserve"> reliability </w:t>
      </w:r>
      <w:r w:rsidR="00E4575A">
        <w:t xml:space="preserve">of </w:t>
      </w:r>
      <w:r w:rsidR="00905929">
        <w:t xml:space="preserve">NTTG and how the plan affects </w:t>
      </w:r>
      <w:r w:rsidR="00E4575A">
        <w:t>Western Interconnect</w:t>
      </w:r>
      <w:r>
        <w:t xml:space="preserve">ed system reliability </w:t>
      </w:r>
      <w:r w:rsidR="00E4575A">
        <w:t xml:space="preserve">using </w:t>
      </w:r>
      <w:r>
        <w:t xml:space="preserve">power flow </w:t>
      </w:r>
      <w:r w:rsidR="00E4575A">
        <w:t>techniques consistent with established planning methods</w:t>
      </w:r>
      <w:r w:rsidR="00D86AC2">
        <w:t xml:space="preserve"> that</w:t>
      </w:r>
      <w:r w:rsidR="00E4575A">
        <w:t xml:space="preserve"> focus on ant</w:t>
      </w:r>
      <w:r w:rsidR="00E46337">
        <w:t xml:space="preserve">icipated times of system stress. </w:t>
      </w:r>
      <w:r w:rsidR="00D86AC2">
        <w:t>The study plan may elect t</w:t>
      </w:r>
      <w:r w:rsidR="00061EF5">
        <w:t>o find periods of stress</w:t>
      </w:r>
      <w:r w:rsidR="00674F90">
        <w:t xml:space="preserve"> or congestion</w:t>
      </w:r>
      <w:r w:rsidR="00791865">
        <w:t xml:space="preserve"> that</w:t>
      </w:r>
      <w:r w:rsidR="00061EF5">
        <w:t xml:space="preserve"> may arise from times of peak load or reduced resource availability, or simply from large geographical disparities in loads and resources</w:t>
      </w:r>
      <w:r w:rsidR="00791865">
        <w:t xml:space="preserve"> using </w:t>
      </w:r>
      <w:r w:rsidR="00061EF5">
        <w:t xml:space="preserve">a chronological security-constrained generator commitment and dispatch model </w:t>
      </w:r>
      <w:r w:rsidR="00E53A33">
        <w:t xml:space="preserve">(e.g., production cost model) </w:t>
      </w:r>
      <w:r w:rsidR="00061EF5">
        <w:t xml:space="preserve">run across the 8,760 hours </w:t>
      </w:r>
      <w:r w:rsidR="00791865">
        <w:t xml:space="preserve">(8,784 hours for leap year) </w:t>
      </w:r>
      <w:r w:rsidR="00061EF5">
        <w:t>to find specific hours when energy flow from resources to loads is most constrained.</w:t>
      </w:r>
    </w:p>
    <w:p w:rsidR="00E52426" w:rsidRDefault="00E52426" w:rsidP="005A132A">
      <w:pPr>
        <w:pStyle w:val="Heading3"/>
      </w:pPr>
      <w:bookmarkStart w:id="41" w:name="_Toc320179212"/>
      <w:r>
        <w:lastRenderedPageBreak/>
        <w:t>System Conditions to Study</w:t>
      </w:r>
      <w:bookmarkEnd w:id="41"/>
    </w:p>
    <w:p w:rsidR="006052B1" w:rsidRDefault="002618FC" w:rsidP="004732E8">
      <w:pPr>
        <w:spacing w:after="120"/>
      </w:pPr>
      <w:r>
        <w:t xml:space="preserve">As described under </w:t>
      </w:r>
      <w:r w:rsidR="00915286">
        <w:t>“</w:t>
      </w:r>
      <w:r w:rsidR="00227808">
        <w:fldChar w:fldCharType="begin"/>
      </w:r>
      <w:r w:rsidR="00915286">
        <w:instrText xml:space="preserve"> REF _Ref319674379 \h </w:instrText>
      </w:r>
      <w:r w:rsidR="00227808">
        <w:fldChar w:fldCharType="separate"/>
      </w:r>
      <w:r w:rsidR="00DD5414">
        <w:t>Study Technique</w:t>
      </w:r>
      <w:r w:rsidR="00227808">
        <w:fldChar w:fldCharType="end"/>
      </w:r>
      <w:r w:rsidR="00915286">
        <w:t>” section</w:t>
      </w:r>
      <w:r>
        <w:t>, t</w:t>
      </w:r>
      <w:r w:rsidR="00831713">
        <w:t>he study plan will identify the system conditions to be studied. Identification of the system conditions may</w:t>
      </w:r>
      <w:r w:rsidR="00955703">
        <w:t xml:space="preserve"> go beyond </w:t>
      </w:r>
      <w:r w:rsidR="00831713">
        <w:t xml:space="preserve">the </w:t>
      </w:r>
      <w:r w:rsidR="00955703">
        <w:t xml:space="preserve">traditional focus </w:t>
      </w:r>
      <w:r w:rsidR="00831713">
        <w:t>of examining a</w:t>
      </w:r>
      <w:r w:rsidR="00955703">
        <w:t xml:space="preserve"> snapshot of winter and summer peak</w:t>
      </w:r>
      <w:r w:rsidR="00831713">
        <w:t xml:space="preserve"> condition</w:t>
      </w:r>
      <w:r w:rsidR="00955703">
        <w:t>s</w:t>
      </w:r>
      <w:r w:rsidR="00915286">
        <w:t xml:space="preserve"> after</w:t>
      </w:r>
      <w:r w:rsidR="00831713">
        <w:t xml:space="preserve"> </w:t>
      </w:r>
      <w:r w:rsidR="00955703">
        <w:t>examin</w:t>
      </w:r>
      <w:r w:rsidR="00831713">
        <w:t>ing</w:t>
      </w:r>
      <w:r w:rsidR="00955703">
        <w:t xml:space="preserve"> all hours of the year </w:t>
      </w:r>
      <w:r w:rsidR="00831713">
        <w:t xml:space="preserve">using production cost modeling techniques to identify </w:t>
      </w:r>
      <w:r w:rsidR="00955703">
        <w:t>situations where available resources and forecasted loads across the Western Interconnection cause highest stress</w:t>
      </w:r>
      <w:r w:rsidR="00F728A4">
        <w:t xml:space="preserve"> on the transmission system</w:t>
      </w:r>
      <w:r w:rsidR="00955703">
        <w:t xml:space="preserve"> in the N</w:t>
      </w:r>
      <w:r w:rsidR="00831713">
        <w:t>TTG</w:t>
      </w:r>
      <w:r w:rsidR="00955703">
        <w:t xml:space="preserve"> footprint.</w:t>
      </w:r>
    </w:p>
    <w:p w:rsidR="00E52426" w:rsidRDefault="00E52426" w:rsidP="005A132A">
      <w:pPr>
        <w:pStyle w:val="Heading3"/>
      </w:pPr>
      <w:bookmarkStart w:id="42" w:name="_Toc320179213"/>
      <w:r>
        <w:t>Bases Cases Selected</w:t>
      </w:r>
      <w:bookmarkEnd w:id="42"/>
    </w:p>
    <w:p w:rsidR="00653A66" w:rsidRDefault="0011311C" w:rsidP="0011311C">
      <w:r>
        <w:t>To the extent that is practical, the planning process will use a</w:t>
      </w:r>
      <w:r w:rsidRPr="00905929">
        <w:t xml:space="preserve"> </w:t>
      </w:r>
      <w:r>
        <w:t>recen</w:t>
      </w:r>
      <w:r w:rsidRPr="00905929">
        <w:t>t</w:t>
      </w:r>
      <w:r>
        <w:t>ly</w:t>
      </w:r>
      <w:r w:rsidRPr="00905929">
        <w:t xml:space="preserve"> TEPPC study </w:t>
      </w:r>
      <w:r>
        <w:t>base case that closely matches NTTG’s long-term planning horizon</w:t>
      </w:r>
      <w:r w:rsidRPr="00905929">
        <w:t>.</w:t>
      </w:r>
      <w:r>
        <w:t xml:space="preserve"> Use of t</w:t>
      </w:r>
      <w:r w:rsidR="002618FC">
        <w:t xml:space="preserve">he </w:t>
      </w:r>
      <w:r>
        <w:t xml:space="preserve">WECC base case </w:t>
      </w:r>
      <w:r w:rsidR="00F728A4">
        <w:t>provide</w:t>
      </w:r>
      <w:r>
        <w:t>s</w:t>
      </w:r>
      <w:r w:rsidR="00F728A4">
        <w:t xml:space="preserve"> a widely-accepted and well-vetted starting point.</w:t>
      </w:r>
      <w:r w:rsidR="00653A66">
        <w:t xml:space="preserve"> </w:t>
      </w:r>
      <w:r w:rsidR="003F0734">
        <w:t xml:space="preserve">The study plan may also provide information how the WECC base cases </w:t>
      </w:r>
      <w:r>
        <w:t xml:space="preserve">will </w:t>
      </w:r>
      <w:r w:rsidR="003F0734">
        <w:t>be modified by NTTG to represent the load and resource conditions and transmission topology necessary to conduct NTTG’s biennial planning studies.</w:t>
      </w:r>
    </w:p>
    <w:p w:rsidR="0063081A" w:rsidRDefault="0063081A" w:rsidP="005A132A">
      <w:pPr>
        <w:pStyle w:val="Heading3"/>
      </w:pPr>
      <w:bookmarkStart w:id="43" w:name="_Toc320179214"/>
      <w:r>
        <w:t>Contingencies to Run</w:t>
      </w:r>
      <w:bookmarkEnd w:id="43"/>
    </w:p>
    <w:p w:rsidR="0063081A" w:rsidRDefault="009B3BC3" w:rsidP="004732E8">
      <w:pPr>
        <w:spacing w:after="120"/>
      </w:pPr>
      <w:r>
        <w:t>The study plan will also provide a discussion of the contingencies to be run</w:t>
      </w:r>
      <w:r w:rsidR="006E1233">
        <w:t xml:space="preserve">. </w:t>
      </w:r>
      <w:r w:rsidR="008E2A89">
        <w:t xml:space="preserve">In performing </w:t>
      </w:r>
      <w:r w:rsidR="00674F90">
        <w:t xml:space="preserve">the </w:t>
      </w:r>
      <w:r w:rsidR="008E2A89">
        <w:t>studies, the ability of power flow programs to automatically test</w:t>
      </w:r>
      <w:r w:rsidR="00F75BD8">
        <w:t xml:space="preserve"> contingencies </w:t>
      </w:r>
      <w:r w:rsidR="008E2A89">
        <w:t xml:space="preserve">will be exercised, using contingency lists provided by </w:t>
      </w:r>
      <w:r>
        <w:t>NTTG</w:t>
      </w:r>
      <w:r w:rsidR="008E2A89">
        <w:t xml:space="preserve"> member </w:t>
      </w:r>
      <w:r>
        <w:t>t</w:t>
      </w:r>
      <w:r w:rsidR="008E2A89">
        <w:t xml:space="preserve">ransmission </w:t>
      </w:r>
      <w:r>
        <w:t>p</w:t>
      </w:r>
      <w:r w:rsidR="008E2A89">
        <w:t>roviders</w:t>
      </w:r>
      <w:r w:rsidR="006E1233">
        <w:t xml:space="preserve">. </w:t>
      </w:r>
      <w:r w:rsidR="0041451D">
        <w:t xml:space="preserve">Lists will include significant single outages of transmission elements or generators, and any reasonably possible (credible) two-element outages.  </w:t>
      </w:r>
    </w:p>
    <w:p w:rsidR="00E52426" w:rsidRPr="005A132A" w:rsidRDefault="00604609" w:rsidP="005A132A">
      <w:pPr>
        <w:pStyle w:val="Heading3"/>
      </w:pPr>
      <w:bookmarkStart w:id="44" w:name="_Toc320179215"/>
      <w:r>
        <w:t xml:space="preserve">Reliability </w:t>
      </w:r>
      <w:r w:rsidR="00E52426" w:rsidRPr="005A132A">
        <w:t>Criteria</w:t>
      </w:r>
      <w:bookmarkEnd w:id="44"/>
    </w:p>
    <w:p w:rsidR="005A132A" w:rsidRPr="004C657D" w:rsidRDefault="00A3562F" w:rsidP="004C657D">
      <w:pPr>
        <w:rPr>
          <w:rFonts w:ascii="Cambria" w:eastAsia="Times New Roman" w:hAnsi="Cambria"/>
          <w:b/>
          <w:bCs/>
          <w:color w:val="365F91"/>
          <w:sz w:val="28"/>
          <w:szCs w:val="28"/>
        </w:rPr>
      </w:pPr>
      <w:r w:rsidRPr="004C657D">
        <w:t>The R</w:t>
      </w:r>
      <w:r w:rsidRPr="004C657D">
        <w:rPr>
          <w:iCs/>
        </w:rPr>
        <w:t>egional Transmission Plan will meet applicable NERC and WECC system reliability standards and criteria.</w:t>
      </w:r>
    </w:p>
    <w:p w:rsidR="002441AF" w:rsidRDefault="002441AF" w:rsidP="002441AF">
      <w:pPr>
        <w:pStyle w:val="Heading1"/>
      </w:pPr>
      <w:bookmarkStart w:id="45" w:name="_Toc320179216"/>
      <w:r>
        <w:t>INTERREGIONAL PLANNING PROCESS</w:t>
      </w:r>
      <w:bookmarkEnd w:id="45"/>
    </w:p>
    <w:sectPr w:rsidR="002441AF" w:rsidSect="0079042B">
      <w:headerReference w:type="default" r:id="rId14"/>
      <w:footerReference w:type="default" r:id="rId15"/>
      <w:pgSz w:w="12240" w:h="15840"/>
      <w:pgMar w:top="720" w:right="1530" w:bottom="72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D3C" w:rsidRDefault="00520D3C" w:rsidP="00A01F7E">
      <w:pPr>
        <w:spacing w:after="0" w:line="240" w:lineRule="auto"/>
      </w:pPr>
      <w:r>
        <w:separator/>
      </w:r>
    </w:p>
    <w:p w:rsidR="00520D3C" w:rsidRDefault="00520D3C"/>
    <w:p w:rsidR="00520D3C" w:rsidRDefault="00520D3C" w:rsidP="00FA2CCB"/>
    <w:p w:rsidR="00520D3C" w:rsidRDefault="00520D3C"/>
  </w:endnote>
  <w:endnote w:type="continuationSeparator" w:id="0">
    <w:p w:rsidR="00520D3C" w:rsidRDefault="00520D3C" w:rsidP="00A01F7E">
      <w:pPr>
        <w:spacing w:after="0" w:line="240" w:lineRule="auto"/>
      </w:pPr>
      <w:r>
        <w:continuationSeparator/>
      </w:r>
    </w:p>
    <w:p w:rsidR="00520D3C" w:rsidRDefault="00520D3C"/>
    <w:p w:rsidR="00520D3C" w:rsidRDefault="00520D3C" w:rsidP="00FA2CCB"/>
    <w:p w:rsidR="00520D3C" w:rsidRDefault="00520D3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2C" w:rsidRDefault="0048602C" w:rsidP="0041451D">
    <w:pPr>
      <w:tabs>
        <w:tab w:val="center" w:pos="4680"/>
        <w:tab w:val="right" w:pos="9360"/>
      </w:tabs>
    </w:pPr>
    <w:r>
      <w:t>Northern Tier Transmission Group</w:t>
    </w:r>
    <w:r>
      <w:tab/>
      <w:t xml:space="preserve">Page </w:t>
    </w:r>
    <w:fldSimple w:instr=" PAGE ">
      <w:r w:rsidR="00DD5414">
        <w:rPr>
          <w:noProof/>
        </w:rPr>
        <w:t>14</w:t>
      </w:r>
    </w:fldSimple>
    <w:r>
      <w:t xml:space="preserve"> of </w:t>
    </w:r>
    <w:fldSimple w:instr=" NUMPAGES  ">
      <w:r w:rsidR="00DD5414">
        <w:rPr>
          <w:noProof/>
        </w:rPr>
        <w:t>17</w:t>
      </w:r>
    </w:fldSimple>
    <w:r>
      <w:tab/>
      <w:t>Planning Practice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D3C" w:rsidRDefault="00520D3C">
      <w:r>
        <w:separator/>
      </w:r>
    </w:p>
  </w:footnote>
  <w:footnote w:type="continuationSeparator" w:id="0">
    <w:p w:rsidR="00520D3C" w:rsidRDefault="00520D3C" w:rsidP="00A01F7E">
      <w:pPr>
        <w:spacing w:after="0" w:line="240" w:lineRule="auto"/>
      </w:pPr>
      <w:r>
        <w:continuationSeparator/>
      </w:r>
    </w:p>
    <w:p w:rsidR="00520D3C" w:rsidRDefault="00520D3C"/>
    <w:p w:rsidR="00520D3C" w:rsidRDefault="00520D3C" w:rsidP="00FA2CCB"/>
    <w:p w:rsidR="00520D3C" w:rsidRDefault="00520D3C"/>
  </w:footnote>
  <w:footnote w:id="1">
    <w:p w:rsidR="0048602C" w:rsidRDefault="0048602C" w:rsidP="00604609">
      <w:pPr>
        <w:pStyle w:val="FootnoteText"/>
        <w:spacing w:after="0" w:line="240" w:lineRule="auto"/>
      </w:pPr>
      <w:r>
        <w:rPr>
          <w:rStyle w:val="FootnoteReference"/>
        </w:rPr>
        <w:footnoteRef/>
      </w:r>
      <w:r>
        <w:t xml:space="preserve"> NTTG transmission providers’ Order 890 compliance filing used the term “sub-regional” to refer to NTTG and “regional” to refer to WECC. This document revises this terminology to conform to the FERC Order 1000 naming convention that NTTG represent the region and WECC represents interconnection-wide.</w:t>
      </w:r>
    </w:p>
  </w:footnote>
  <w:footnote w:id="2">
    <w:p w:rsidR="0048602C" w:rsidRDefault="0048602C" w:rsidP="00855C86">
      <w:pPr>
        <w:pStyle w:val="FootnoteText"/>
        <w:spacing w:after="0"/>
      </w:pPr>
      <w:r>
        <w:rPr>
          <w:rStyle w:val="FootnoteReference"/>
        </w:rPr>
        <w:footnoteRef/>
      </w:r>
      <w:r>
        <w:t xml:space="preserve"> Compliance filing approved by FERC on April 8, 2010</w:t>
      </w:r>
    </w:p>
  </w:footnote>
  <w:footnote w:id="3">
    <w:p w:rsidR="0048602C" w:rsidRDefault="0048602C" w:rsidP="00857272">
      <w:pPr>
        <w:spacing w:after="0"/>
      </w:pPr>
      <w:r>
        <w:rPr>
          <w:rStyle w:val="FootnoteReference"/>
        </w:rPr>
        <w:footnoteRef/>
      </w:r>
      <w:r>
        <w:t xml:space="preserve"> </w:t>
      </w:r>
      <w:r w:rsidRPr="00386B7C">
        <w:rPr>
          <w:sz w:val="20"/>
          <w:szCs w:val="20"/>
        </w:rPr>
        <w:t>Order 1000 regional planning principles include coordination, openness, transparency, information exchange, comparability, dispute resolution and economic planning.</w:t>
      </w:r>
    </w:p>
  </w:footnote>
  <w:footnote w:id="4">
    <w:p w:rsidR="0048602C" w:rsidRDefault="0048602C">
      <w:pPr>
        <w:pStyle w:val="FootnoteText"/>
      </w:pPr>
      <w:r>
        <w:rPr>
          <w:rStyle w:val="FootnoteReference"/>
        </w:rPr>
        <w:footnoteRef/>
      </w:r>
      <w:r>
        <w:t xml:space="preserve"> Deseret Power, Idaho Power, NorthWestern Energy, PacifiCorp, Portland General Electric and Utah Associated Municipal Power Systems</w:t>
      </w:r>
    </w:p>
  </w:footnote>
  <w:footnote w:id="5">
    <w:p w:rsidR="0048602C" w:rsidRPr="00442F64" w:rsidRDefault="0048602C" w:rsidP="00442F64">
      <w:pPr>
        <w:pStyle w:val="Default"/>
        <w:rPr>
          <w:rFonts w:asciiTheme="minorHAnsi" w:hAnsiTheme="minorHAnsi" w:cstheme="minorHAnsi"/>
          <w:sz w:val="20"/>
          <w:szCs w:val="20"/>
        </w:rPr>
      </w:pPr>
      <w:r w:rsidRPr="00442F64">
        <w:rPr>
          <w:rStyle w:val="FootnoteReference"/>
          <w:rFonts w:asciiTheme="minorHAnsi" w:hAnsiTheme="minorHAnsi" w:cstheme="minorHAnsi"/>
          <w:sz w:val="20"/>
          <w:szCs w:val="20"/>
        </w:rPr>
        <w:footnoteRef/>
      </w:r>
      <w:r w:rsidRPr="00442F64">
        <w:rPr>
          <w:rFonts w:asciiTheme="minorHAnsi" w:hAnsiTheme="minorHAnsi" w:cstheme="minorHAnsi"/>
          <w:sz w:val="20"/>
          <w:szCs w:val="20"/>
        </w:rPr>
        <w:t xml:space="preserve"> For a sub-regional economic study request to be considered by NTTG, eligible customers or stakeholders must submit the request to a transmission provider that is a party to the NTTG Funding Agreement. </w:t>
      </w:r>
    </w:p>
    <w:p w:rsidR="0048602C" w:rsidRPr="00D80066" w:rsidRDefault="0048602C" w:rsidP="00BE01A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2C" w:rsidRDefault="00227808">
    <w:pPr>
      <w:pStyle w:val="Header"/>
      <w:jc w:val="right"/>
    </w:pPr>
    <w:fldSimple w:instr=" PAGE   \* MERGEFORMAT ">
      <w:r w:rsidR="00DD5414">
        <w:rPr>
          <w:noProof/>
        </w:rPr>
        <w:t>14</w:t>
      </w:r>
    </w:fldSimple>
  </w:p>
  <w:p w:rsidR="0048602C" w:rsidRDefault="00227808">
    <w:pPr>
      <w:pStyle w:val="Header"/>
    </w:pPr>
    <w:r w:rsidRPr="00227808">
      <w:rPr>
        <w:b/>
        <w:noProof/>
        <w:color w:val="00B05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A9D"/>
    <w:multiLevelType w:val="hybridMultilevel"/>
    <w:tmpl w:val="E534B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61EB7"/>
    <w:multiLevelType w:val="hybridMultilevel"/>
    <w:tmpl w:val="39F85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839F1"/>
    <w:multiLevelType w:val="hybridMultilevel"/>
    <w:tmpl w:val="126E5F38"/>
    <w:lvl w:ilvl="0" w:tplc="0C94F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32DEA"/>
    <w:multiLevelType w:val="hybridMultilevel"/>
    <w:tmpl w:val="4B34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E3D43"/>
    <w:multiLevelType w:val="hybridMultilevel"/>
    <w:tmpl w:val="E31C4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B18D4"/>
    <w:multiLevelType w:val="hybridMultilevel"/>
    <w:tmpl w:val="00E0F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702AC7"/>
    <w:multiLevelType w:val="hybridMultilevel"/>
    <w:tmpl w:val="BF3C1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041B2"/>
    <w:multiLevelType w:val="hybridMultilevel"/>
    <w:tmpl w:val="1EBEE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B216A8"/>
    <w:multiLevelType w:val="hybridMultilevel"/>
    <w:tmpl w:val="A6BE5146"/>
    <w:lvl w:ilvl="0" w:tplc="710A05D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078A4"/>
    <w:multiLevelType w:val="hybridMultilevel"/>
    <w:tmpl w:val="DDD02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4592E"/>
    <w:multiLevelType w:val="hybridMultilevel"/>
    <w:tmpl w:val="FB0CC2C6"/>
    <w:lvl w:ilvl="0" w:tplc="83A60F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2523A7"/>
    <w:multiLevelType w:val="hybridMultilevel"/>
    <w:tmpl w:val="D38EA7D4"/>
    <w:lvl w:ilvl="0" w:tplc="6E38F47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74F98"/>
    <w:multiLevelType w:val="hybridMultilevel"/>
    <w:tmpl w:val="A29C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F2479"/>
    <w:multiLevelType w:val="hybridMultilevel"/>
    <w:tmpl w:val="7876A590"/>
    <w:lvl w:ilvl="0" w:tplc="23E0A1A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C1A5B"/>
    <w:multiLevelType w:val="hybridMultilevel"/>
    <w:tmpl w:val="B152380A"/>
    <w:lvl w:ilvl="0" w:tplc="3BC6A2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D0230"/>
    <w:multiLevelType w:val="hybridMultilevel"/>
    <w:tmpl w:val="A582EB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7A48F2"/>
    <w:multiLevelType w:val="hybridMultilevel"/>
    <w:tmpl w:val="6CE2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B51ED"/>
    <w:multiLevelType w:val="hybridMultilevel"/>
    <w:tmpl w:val="92927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B5BF1"/>
    <w:multiLevelType w:val="hybridMultilevel"/>
    <w:tmpl w:val="C77A0B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085EFA"/>
    <w:multiLevelType w:val="hybridMultilevel"/>
    <w:tmpl w:val="C068D806"/>
    <w:lvl w:ilvl="0" w:tplc="3BC6A29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F56DA4"/>
    <w:multiLevelType w:val="hybridMultilevel"/>
    <w:tmpl w:val="62D4E95E"/>
    <w:lvl w:ilvl="0" w:tplc="8B62D2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413D5F"/>
    <w:multiLevelType w:val="hybridMultilevel"/>
    <w:tmpl w:val="40C8C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842621"/>
    <w:multiLevelType w:val="hybridMultilevel"/>
    <w:tmpl w:val="EFE6F7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73381D"/>
    <w:multiLevelType w:val="hybridMultilevel"/>
    <w:tmpl w:val="E5B60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8168F4"/>
    <w:multiLevelType w:val="hybridMultilevel"/>
    <w:tmpl w:val="3726F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AE1D6F"/>
    <w:multiLevelType w:val="hybridMultilevel"/>
    <w:tmpl w:val="DFAA02EC"/>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6">
    <w:nsid w:val="578436F0"/>
    <w:multiLevelType w:val="hybridMultilevel"/>
    <w:tmpl w:val="A9EA1212"/>
    <w:lvl w:ilvl="0" w:tplc="F192F3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493215"/>
    <w:multiLevelType w:val="hybridMultilevel"/>
    <w:tmpl w:val="FBB623F4"/>
    <w:lvl w:ilvl="0" w:tplc="23E0A1A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11B86"/>
    <w:multiLevelType w:val="hybridMultilevel"/>
    <w:tmpl w:val="5102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84962"/>
    <w:multiLevelType w:val="hybridMultilevel"/>
    <w:tmpl w:val="F9B411F8"/>
    <w:lvl w:ilvl="0" w:tplc="2AE871A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E756C"/>
    <w:multiLevelType w:val="hybridMultilevel"/>
    <w:tmpl w:val="0CFEDF26"/>
    <w:lvl w:ilvl="0" w:tplc="489A9F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562FE"/>
    <w:multiLevelType w:val="hybridMultilevel"/>
    <w:tmpl w:val="FA1CA9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DA6209"/>
    <w:multiLevelType w:val="hybridMultilevel"/>
    <w:tmpl w:val="1384EC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664620"/>
    <w:multiLevelType w:val="hybridMultilevel"/>
    <w:tmpl w:val="F2F4073A"/>
    <w:lvl w:ilvl="0" w:tplc="17F2148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F9702D"/>
    <w:multiLevelType w:val="hybridMultilevel"/>
    <w:tmpl w:val="CF48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905905"/>
    <w:multiLevelType w:val="hybridMultilevel"/>
    <w:tmpl w:val="D9649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0E01ED"/>
    <w:multiLevelType w:val="hybridMultilevel"/>
    <w:tmpl w:val="CA387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2436D7"/>
    <w:multiLevelType w:val="hybridMultilevel"/>
    <w:tmpl w:val="1F36E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9A2758"/>
    <w:multiLevelType w:val="hybridMultilevel"/>
    <w:tmpl w:val="4F6C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BE7662"/>
    <w:multiLevelType w:val="hybridMultilevel"/>
    <w:tmpl w:val="07686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CE6154"/>
    <w:multiLevelType w:val="hybridMultilevel"/>
    <w:tmpl w:val="3C9E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6"/>
  </w:num>
  <w:num w:numId="4">
    <w:abstractNumId w:val="23"/>
  </w:num>
  <w:num w:numId="5">
    <w:abstractNumId w:val="12"/>
  </w:num>
  <w:num w:numId="6">
    <w:abstractNumId w:val="8"/>
  </w:num>
  <w:num w:numId="7">
    <w:abstractNumId w:val="29"/>
  </w:num>
  <w:num w:numId="8">
    <w:abstractNumId w:val="11"/>
  </w:num>
  <w:num w:numId="9">
    <w:abstractNumId w:val="30"/>
  </w:num>
  <w:num w:numId="10">
    <w:abstractNumId w:val="2"/>
  </w:num>
  <w:num w:numId="11">
    <w:abstractNumId w:val="17"/>
  </w:num>
  <w:num w:numId="12">
    <w:abstractNumId w:val="22"/>
  </w:num>
  <w:num w:numId="13">
    <w:abstractNumId w:val="3"/>
  </w:num>
  <w:num w:numId="14">
    <w:abstractNumId w:val="31"/>
  </w:num>
  <w:num w:numId="15">
    <w:abstractNumId w:val="24"/>
  </w:num>
  <w:num w:numId="16">
    <w:abstractNumId w:val="32"/>
  </w:num>
  <w:num w:numId="17">
    <w:abstractNumId w:val="19"/>
  </w:num>
  <w:num w:numId="18">
    <w:abstractNumId w:val="14"/>
  </w:num>
  <w:num w:numId="19">
    <w:abstractNumId w:val="35"/>
  </w:num>
  <w:num w:numId="20">
    <w:abstractNumId w:val="40"/>
  </w:num>
  <w:num w:numId="21">
    <w:abstractNumId w:val="16"/>
  </w:num>
  <w:num w:numId="22">
    <w:abstractNumId w:val="37"/>
  </w:num>
  <w:num w:numId="23">
    <w:abstractNumId w:val="4"/>
  </w:num>
  <w:num w:numId="24">
    <w:abstractNumId w:val="25"/>
  </w:num>
  <w:num w:numId="25">
    <w:abstractNumId w:val="1"/>
  </w:num>
  <w:num w:numId="26">
    <w:abstractNumId w:val="39"/>
  </w:num>
  <w:num w:numId="27">
    <w:abstractNumId w:val="15"/>
  </w:num>
  <w:num w:numId="28">
    <w:abstractNumId w:val="10"/>
  </w:num>
  <w:num w:numId="29">
    <w:abstractNumId w:val="21"/>
  </w:num>
  <w:num w:numId="30">
    <w:abstractNumId w:val="26"/>
  </w:num>
  <w:num w:numId="31">
    <w:abstractNumId w:val="18"/>
  </w:num>
  <w:num w:numId="32">
    <w:abstractNumId w:val="33"/>
  </w:num>
  <w:num w:numId="33">
    <w:abstractNumId w:val="13"/>
  </w:num>
  <w:num w:numId="34">
    <w:abstractNumId w:val="27"/>
  </w:num>
  <w:num w:numId="35">
    <w:abstractNumId w:val="34"/>
  </w:num>
  <w:num w:numId="36">
    <w:abstractNumId w:val="36"/>
  </w:num>
  <w:num w:numId="37">
    <w:abstractNumId w:val="28"/>
  </w:num>
  <w:num w:numId="38">
    <w:abstractNumId w:val="7"/>
  </w:num>
  <w:num w:numId="39">
    <w:abstractNumId w:val="5"/>
  </w:num>
  <w:num w:numId="40">
    <w:abstractNumId w:val="0"/>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10"/>
  <w:displayHorizontalDrawingGridEvery w:val="2"/>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24CF"/>
    <w:rsid w:val="000016F5"/>
    <w:rsid w:val="000023AC"/>
    <w:rsid w:val="00003F19"/>
    <w:rsid w:val="00004875"/>
    <w:rsid w:val="0000710E"/>
    <w:rsid w:val="00007C1F"/>
    <w:rsid w:val="0001091C"/>
    <w:rsid w:val="00010B13"/>
    <w:rsid w:val="0001170A"/>
    <w:rsid w:val="00014EBD"/>
    <w:rsid w:val="00015B61"/>
    <w:rsid w:val="00016290"/>
    <w:rsid w:val="00016705"/>
    <w:rsid w:val="0002048E"/>
    <w:rsid w:val="000216FF"/>
    <w:rsid w:val="000232C2"/>
    <w:rsid w:val="00025049"/>
    <w:rsid w:val="0003128F"/>
    <w:rsid w:val="00040F0E"/>
    <w:rsid w:val="0004253D"/>
    <w:rsid w:val="00043687"/>
    <w:rsid w:val="000517D3"/>
    <w:rsid w:val="0005423C"/>
    <w:rsid w:val="0005679A"/>
    <w:rsid w:val="00061EF5"/>
    <w:rsid w:val="000645C0"/>
    <w:rsid w:val="000715CA"/>
    <w:rsid w:val="000730BF"/>
    <w:rsid w:val="000779B7"/>
    <w:rsid w:val="00080D34"/>
    <w:rsid w:val="000826B3"/>
    <w:rsid w:val="00082D24"/>
    <w:rsid w:val="00091FB0"/>
    <w:rsid w:val="000929FF"/>
    <w:rsid w:val="0009350A"/>
    <w:rsid w:val="00093C31"/>
    <w:rsid w:val="00094011"/>
    <w:rsid w:val="00095F2D"/>
    <w:rsid w:val="000A031E"/>
    <w:rsid w:val="000A1B85"/>
    <w:rsid w:val="000A2573"/>
    <w:rsid w:val="000A4F74"/>
    <w:rsid w:val="000A51CF"/>
    <w:rsid w:val="000A52DA"/>
    <w:rsid w:val="000A6705"/>
    <w:rsid w:val="000A768B"/>
    <w:rsid w:val="000A76FD"/>
    <w:rsid w:val="000B3F77"/>
    <w:rsid w:val="000B4481"/>
    <w:rsid w:val="000B52F3"/>
    <w:rsid w:val="000C01B2"/>
    <w:rsid w:val="000C2314"/>
    <w:rsid w:val="000C25D9"/>
    <w:rsid w:val="000C39CD"/>
    <w:rsid w:val="000C5548"/>
    <w:rsid w:val="000D1F71"/>
    <w:rsid w:val="000D249F"/>
    <w:rsid w:val="000D7555"/>
    <w:rsid w:val="000E0A14"/>
    <w:rsid w:val="000E375F"/>
    <w:rsid w:val="000E66C9"/>
    <w:rsid w:val="000E6AD0"/>
    <w:rsid w:val="000E77C6"/>
    <w:rsid w:val="000F103D"/>
    <w:rsid w:val="00100449"/>
    <w:rsid w:val="0010207F"/>
    <w:rsid w:val="001029DF"/>
    <w:rsid w:val="00103796"/>
    <w:rsid w:val="0010643B"/>
    <w:rsid w:val="00111398"/>
    <w:rsid w:val="0011229C"/>
    <w:rsid w:val="0011311C"/>
    <w:rsid w:val="00125205"/>
    <w:rsid w:val="00127C02"/>
    <w:rsid w:val="00127D91"/>
    <w:rsid w:val="00132378"/>
    <w:rsid w:val="00132964"/>
    <w:rsid w:val="00132BE9"/>
    <w:rsid w:val="00133749"/>
    <w:rsid w:val="00133A88"/>
    <w:rsid w:val="001377F2"/>
    <w:rsid w:val="00141CF0"/>
    <w:rsid w:val="00154644"/>
    <w:rsid w:val="0016187C"/>
    <w:rsid w:val="00162559"/>
    <w:rsid w:val="00162E14"/>
    <w:rsid w:val="001644A5"/>
    <w:rsid w:val="0017104F"/>
    <w:rsid w:val="00177A7C"/>
    <w:rsid w:val="0018376C"/>
    <w:rsid w:val="00183A7D"/>
    <w:rsid w:val="001850E8"/>
    <w:rsid w:val="00185D60"/>
    <w:rsid w:val="00190A14"/>
    <w:rsid w:val="00195662"/>
    <w:rsid w:val="00195D4A"/>
    <w:rsid w:val="00196508"/>
    <w:rsid w:val="00196873"/>
    <w:rsid w:val="001A59CE"/>
    <w:rsid w:val="001A68C3"/>
    <w:rsid w:val="001B2F4A"/>
    <w:rsid w:val="001B418D"/>
    <w:rsid w:val="001C1176"/>
    <w:rsid w:val="001C415C"/>
    <w:rsid w:val="001D35CC"/>
    <w:rsid w:val="001D4D1C"/>
    <w:rsid w:val="001D690D"/>
    <w:rsid w:val="001E17F6"/>
    <w:rsid w:val="001F09C1"/>
    <w:rsid w:val="001F189E"/>
    <w:rsid w:val="001F3BC6"/>
    <w:rsid w:val="001F4B05"/>
    <w:rsid w:val="002064CD"/>
    <w:rsid w:val="00211ABD"/>
    <w:rsid w:val="002174E2"/>
    <w:rsid w:val="00227653"/>
    <w:rsid w:val="00227808"/>
    <w:rsid w:val="0023103E"/>
    <w:rsid w:val="00231907"/>
    <w:rsid w:val="00233336"/>
    <w:rsid w:val="00234372"/>
    <w:rsid w:val="00235AB9"/>
    <w:rsid w:val="00236839"/>
    <w:rsid w:val="002370E7"/>
    <w:rsid w:val="00241E23"/>
    <w:rsid w:val="002426ED"/>
    <w:rsid w:val="00243B70"/>
    <w:rsid w:val="002441AF"/>
    <w:rsid w:val="00246739"/>
    <w:rsid w:val="00250DF8"/>
    <w:rsid w:val="00252331"/>
    <w:rsid w:val="00255A0F"/>
    <w:rsid w:val="00256622"/>
    <w:rsid w:val="002618FC"/>
    <w:rsid w:val="0026417A"/>
    <w:rsid w:val="00267E92"/>
    <w:rsid w:val="00267E94"/>
    <w:rsid w:val="002710BA"/>
    <w:rsid w:val="002728B6"/>
    <w:rsid w:val="00275551"/>
    <w:rsid w:val="002916DF"/>
    <w:rsid w:val="00291E3F"/>
    <w:rsid w:val="0029260A"/>
    <w:rsid w:val="00296370"/>
    <w:rsid w:val="002A1117"/>
    <w:rsid w:val="002A3A68"/>
    <w:rsid w:val="002A6922"/>
    <w:rsid w:val="002A6D26"/>
    <w:rsid w:val="002A6F55"/>
    <w:rsid w:val="002B0C44"/>
    <w:rsid w:val="002B2990"/>
    <w:rsid w:val="002B5194"/>
    <w:rsid w:val="002B69C2"/>
    <w:rsid w:val="002B6F57"/>
    <w:rsid w:val="002C02C3"/>
    <w:rsid w:val="002C6B63"/>
    <w:rsid w:val="002D1DF5"/>
    <w:rsid w:val="002D1FEE"/>
    <w:rsid w:val="002D2C18"/>
    <w:rsid w:val="002D3183"/>
    <w:rsid w:val="002D3369"/>
    <w:rsid w:val="002D40A1"/>
    <w:rsid w:val="002D4B6A"/>
    <w:rsid w:val="002D6192"/>
    <w:rsid w:val="002E1D25"/>
    <w:rsid w:val="002E3007"/>
    <w:rsid w:val="002E3577"/>
    <w:rsid w:val="002E7A5C"/>
    <w:rsid w:val="002F5050"/>
    <w:rsid w:val="002F5076"/>
    <w:rsid w:val="00300B8A"/>
    <w:rsid w:val="00301584"/>
    <w:rsid w:val="003024CF"/>
    <w:rsid w:val="00302857"/>
    <w:rsid w:val="00322596"/>
    <w:rsid w:val="00322AB5"/>
    <w:rsid w:val="00331759"/>
    <w:rsid w:val="00331E4E"/>
    <w:rsid w:val="00342709"/>
    <w:rsid w:val="003542D3"/>
    <w:rsid w:val="003545E3"/>
    <w:rsid w:val="00362517"/>
    <w:rsid w:val="00362A63"/>
    <w:rsid w:val="00365ECD"/>
    <w:rsid w:val="00371275"/>
    <w:rsid w:val="0037164C"/>
    <w:rsid w:val="00373933"/>
    <w:rsid w:val="00374CD4"/>
    <w:rsid w:val="003807CC"/>
    <w:rsid w:val="00383D44"/>
    <w:rsid w:val="003843E6"/>
    <w:rsid w:val="003863A7"/>
    <w:rsid w:val="00386B7C"/>
    <w:rsid w:val="003870FD"/>
    <w:rsid w:val="0039430C"/>
    <w:rsid w:val="00396F45"/>
    <w:rsid w:val="003A49EC"/>
    <w:rsid w:val="003A506D"/>
    <w:rsid w:val="003B79CC"/>
    <w:rsid w:val="003C4E44"/>
    <w:rsid w:val="003D1F0E"/>
    <w:rsid w:val="003D7D07"/>
    <w:rsid w:val="003E55C3"/>
    <w:rsid w:val="003E56F0"/>
    <w:rsid w:val="003F0734"/>
    <w:rsid w:val="003F586B"/>
    <w:rsid w:val="003F61EF"/>
    <w:rsid w:val="003F7499"/>
    <w:rsid w:val="00400112"/>
    <w:rsid w:val="00402CA6"/>
    <w:rsid w:val="00410C65"/>
    <w:rsid w:val="00413CC9"/>
    <w:rsid w:val="0041451D"/>
    <w:rsid w:val="0041573A"/>
    <w:rsid w:val="0041613D"/>
    <w:rsid w:val="00421E27"/>
    <w:rsid w:val="00423EAA"/>
    <w:rsid w:val="00431369"/>
    <w:rsid w:val="004323AF"/>
    <w:rsid w:val="00436039"/>
    <w:rsid w:val="00437C4D"/>
    <w:rsid w:val="00442F64"/>
    <w:rsid w:val="00446617"/>
    <w:rsid w:val="0044727D"/>
    <w:rsid w:val="0045599F"/>
    <w:rsid w:val="0045668A"/>
    <w:rsid w:val="00462204"/>
    <w:rsid w:val="00463115"/>
    <w:rsid w:val="004732E8"/>
    <w:rsid w:val="00481540"/>
    <w:rsid w:val="00481B63"/>
    <w:rsid w:val="0048602C"/>
    <w:rsid w:val="00491CAA"/>
    <w:rsid w:val="004936F9"/>
    <w:rsid w:val="0049667F"/>
    <w:rsid w:val="004A5058"/>
    <w:rsid w:val="004A5108"/>
    <w:rsid w:val="004B00D5"/>
    <w:rsid w:val="004B293B"/>
    <w:rsid w:val="004B5678"/>
    <w:rsid w:val="004C0960"/>
    <w:rsid w:val="004C0EB3"/>
    <w:rsid w:val="004C657D"/>
    <w:rsid w:val="004D45B5"/>
    <w:rsid w:val="004D5EAF"/>
    <w:rsid w:val="004D60A7"/>
    <w:rsid w:val="004E30CF"/>
    <w:rsid w:val="004E71C7"/>
    <w:rsid w:val="004E7895"/>
    <w:rsid w:val="004E7E2F"/>
    <w:rsid w:val="004F15B9"/>
    <w:rsid w:val="004F1733"/>
    <w:rsid w:val="004F2A40"/>
    <w:rsid w:val="004F6060"/>
    <w:rsid w:val="00506FFE"/>
    <w:rsid w:val="005077B3"/>
    <w:rsid w:val="00514A73"/>
    <w:rsid w:val="00514B58"/>
    <w:rsid w:val="0051687C"/>
    <w:rsid w:val="00520D3C"/>
    <w:rsid w:val="00521D97"/>
    <w:rsid w:val="0052529F"/>
    <w:rsid w:val="0052650D"/>
    <w:rsid w:val="005339E2"/>
    <w:rsid w:val="005343F8"/>
    <w:rsid w:val="0054031E"/>
    <w:rsid w:val="00542BF4"/>
    <w:rsid w:val="00543A99"/>
    <w:rsid w:val="00546D09"/>
    <w:rsid w:val="00551211"/>
    <w:rsid w:val="0055175B"/>
    <w:rsid w:val="00553018"/>
    <w:rsid w:val="0057544D"/>
    <w:rsid w:val="005757CE"/>
    <w:rsid w:val="00577003"/>
    <w:rsid w:val="005817BA"/>
    <w:rsid w:val="00585FC2"/>
    <w:rsid w:val="00586499"/>
    <w:rsid w:val="00591157"/>
    <w:rsid w:val="00591215"/>
    <w:rsid w:val="00594F43"/>
    <w:rsid w:val="005953A2"/>
    <w:rsid w:val="00596EC9"/>
    <w:rsid w:val="00597763"/>
    <w:rsid w:val="005A132A"/>
    <w:rsid w:val="005A4106"/>
    <w:rsid w:val="005A7E4E"/>
    <w:rsid w:val="005B5D37"/>
    <w:rsid w:val="005B67F4"/>
    <w:rsid w:val="005C0964"/>
    <w:rsid w:val="005C6142"/>
    <w:rsid w:val="005C65EE"/>
    <w:rsid w:val="005C73F3"/>
    <w:rsid w:val="005C7F0D"/>
    <w:rsid w:val="005D07C4"/>
    <w:rsid w:val="005E1735"/>
    <w:rsid w:val="005E38D6"/>
    <w:rsid w:val="005E3CFC"/>
    <w:rsid w:val="005E5FA0"/>
    <w:rsid w:val="005E6D12"/>
    <w:rsid w:val="005F2B64"/>
    <w:rsid w:val="00602D4D"/>
    <w:rsid w:val="00604609"/>
    <w:rsid w:val="006052B1"/>
    <w:rsid w:val="00606533"/>
    <w:rsid w:val="00623A7C"/>
    <w:rsid w:val="00623F01"/>
    <w:rsid w:val="00627071"/>
    <w:rsid w:val="0063081A"/>
    <w:rsid w:val="00636F63"/>
    <w:rsid w:val="006370E4"/>
    <w:rsid w:val="006433F1"/>
    <w:rsid w:val="006518CB"/>
    <w:rsid w:val="00653A66"/>
    <w:rsid w:val="00653A6C"/>
    <w:rsid w:val="006547CC"/>
    <w:rsid w:val="006557A9"/>
    <w:rsid w:val="00657B18"/>
    <w:rsid w:val="00661035"/>
    <w:rsid w:val="006616BC"/>
    <w:rsid w:val="0066284C"/>
    <w:rsid w:val="00667E74"/>
    <w:rsid w:val="00667FE2"/>
    <w:rsid w:val="006720A9"/>
    <w:rsid w:val="00674F90"/>
    <w:rsid w:val="00675CB8"/>
    <w:rsid w:val="0068314E"/>
    <w:rsid w:val="00686D78"/>
    <w:rsid w:val="0068746B"/>
    <w:rsid w:val="00690476"/>
    <w:rsid w:val="00690867"/>
    <w:rsid w:val="00690A1E"/>
    <w:rsid w:val="00692320"/>
    <w:rsid w:val="006A6048"/>
    <w:rsid w:val="006B101B"/>
    <w:rsid w:val="006B4C4D"/>
    <w:rsid w:val="006C3214"/>
    <w:rsid w:val="006C4395"/>
    <w:rsid w:val="006C4731"/>
    <w:rsid w:val="006C6878"/>
    <w:rsid w:val="006C6DFD"/>
    <w:rsid w:val="006D0631"/>
    <w:rsid w:val="006D0C01"/>
    <w:rsid w:val="006D52E8"/>
    <w:rsid w:val="006E1233"/>
    <w:rsid w:val="006E13FB"/>
    <w:rsid w:val="006E2F46"/>
    <w:rsid w:val="006F0DC0"/>
    <w:rsid w:val="006F2DE8"/>
    <w:rsid w:val="00700D4C"/>
    <w:rsid w:val="00700ED6"/>
    <w:rsid w:val="00704A68"/>
    <w:rsid w:val="0070575A"/>
    <w:rsid w:val="00705B2D"/>
    <w:rsid w:val="00711704"/>
    <w:rsid w:val="007136D5"/>
    <w:rsid w:val="00717206"/>
    <w:rsid w:val="0072166C"/>
    <w:rsid w:val="00730A7F"/>
    <w:rsid w:val="007370AF"/>
    <w:rsid w:val="00741557"/>
    <w:rsid w:val="00744C92"/>
    <w:rsid w:val="00747A94"/>
    <w:rsid w:val="00747F6F"/>
    <w:rsid w:val="00752F6F"/>
    <w:rsid w:val="00757DD5"/>
    <w:rsid w:val="0076062E"/>
    <w:rsid w:val="00760817"/>
    <w:rsid w:val="00765439"/>
    <w:rsid w:val="00766CC3"/>
    <w:rsid w:val="00770BCF"/>
    <w:rsid w:val="00771941"/>
    <w:rsid w:val="00772D6B"/>
    <w:rsid w:val="00774FA5"/>
    <w:rsid w:val="0079042B"/>
    <w:rsid w:val="00791865"/>
    <w:rsid w:val="007933FD"/>
    <w:rsid w:val="007A1C0D"/>
    <w:rsid w:val="007A26F3"/>
    <w:rsid w:val="007A3533"/>
    <w:rsid w:val="007A48D7"/>
    <w:rsid w:val="007A5A12"/>
    <w:rsid w:val="007A606D"/>
    <w:rsid w:val="007A707F"/>
    <w:rsid w:val="007B1A4E"/>
    <w:rsid w:val="007B3B3D"/>
    <w:rsid w:val="007C1FE4"/>
    <w:rsid w:val="007D0885"/>
    <w:rsid w:val="007D3114"/>
    <w:rsid w:val="007D3C37"/>
    <w:rsid w:val="007D6478"/>
    <w:rsid w:val="007D7645"/>
    <w:rsid w:val="007E654F"/>
    <w:rsid w:val="007F0177"/>
    <w:rsid w:val="007F021E"/>
    <w:rsid w:val="007F6887"/>
    <w:rsid w:val="00801DF0"/>
    <w:rsid w:val="00801E5D"/>
    <w:rsid w:val="0080470B"/>
    <w:rsid w:val="0080606E"/>
    <w:rsid w:val="00807E21"/>
    <w:rsid w:val="00811A8D"/>
    <w:rsid w:val="0081567C"/>
    <w:rsid w:val="00817F82"/>
    <w:rsid w:val="008216F9"/>
    <w:rsid w:val="0082223E"/>
    <w:rsid w:val="00824B22"/>
    <w:rsid w:val="00831713"/>
    <w:rsid w:val="00836E6E"/>
    <w:rsid w:val="00837567"/>
    <w:rsid w:val="00847086"/>
    <w:rsid w:val="00847B92"/>
    <w:rsid w:val="00850833"/>
    <w:rsid w:val="00851D10"/>
    <w:rsid w:val="00853BEB"/>
    <w:rsid w:val="00853CD1"/>
    <w:rsid w:val="00854D35"/>
    <w:rsid w:val="00855C86"/>
    <w:rsid w:val="0085688C"/>
    <w:rsid w:val="00857272"/>
    <w:rsid w:val="00865CFC"/>
    <w:rsid w:val="0086621F"/>
    <w:rsid w:val="008708A5"/>
    <w:rsid w:val="00872C44"/>
    <w:rsid w:val="00873211"/>
    <w:rsid w:val="00880635"/>
    <w:rsid w:val="00881D96"/>
    <w:rsid w:val="0089062A"/>
    <w:rsid w:val="00891D01"/>
    <w:rsid w:val="008A0572"/>
    <w:rsid w:val="008A2347"/>
    <w:rsid w:val="008A7863"/>
    <w:rsid w:val="008B052E"/>
    <w:rsid w:val="008B1481"/>
    <w:rsid w:val="008B4479"/>
    <w:rsid w:val="008B4E1D"/>
    <w:rsid w:val="008B7A1F"/>
    <w:rsid w:val="008C1519"/>
    <w:rsid w:val="008C7AC3"/>
    <w:rsid w:val="008D2294"/>
    <w:rsid w:val="008D2530"/>
    <w:rsid w:val="008D5496"/>
    <w:rsid w:val="008D6E77"/>
    <w:rsid w:val="008E05F9"/>
    <w:rsid w:val="008E2A89"/>
    <w:rsid w:val="008E361D"/>
    <w:rsid w:val="008E5F4B"/>
    <w:rsid w:val="008F25D9"/>
    <w:rsid w:val="008F3D0C"/>
    <w:rsid w:val="009052C6"/>
    <w:rsid w:val="00905929"/>
    <w:rsid w:val="00907933"/>
    <w:rsid w:val="00911760"/>
    <w:rsid w:val="00913B57"/>
    <w:rsid w:val="00915286"/>
    <w:rsid w:val="00916285"/>
    <w:rsid w:val="0091794D"/>
    <w:rsid w:val="00936CB0"/>
    <w:rsid w:val="00937D61"/>
    <w:rsid w:val="0094034E"/>
    <w:rsid w:val="00940F89"/>
    <w:rsid w:val="00950C1D"/>
    <w:rsid w:val="00955703"/>
    <w:rsid w:val="00960A78"/>
    <w:rsid w:val="009708C4"/>
    <w:rsid w:val="009717FE"/>
    <w:rsid w:val="00980A61"/>
    <w:rsid w:val="009813F1"/>
    <w:rsid w:val="00982B9B"/>
    <w:rsid w:val="00983331"/>
    <w:rsid w:val="00991A6A"/>
    <w:rsid w:val="00995211"/>
    <w:rsid w:val="00996141"/>
    <w:rsid w:val="009A13D2"/>
    <w:rsid w:val="009A2A78"/>
    <w:rsid w:val="009A3DEA"/>
    <w:rsid w:val="009A4027"/>
    <w:rsid w:val="009A7553"/>
    <w:rsid w:val="009B29BC"/>
    <w:rsid w:val="009B3BC3"/>
    <w:rsid w:val="009C4D10"/>
    <w:rsid w:val="009D0AC4"/>
    <w:rsid w:val="009D31D4"/>
    <w:rsid w:val="009E1E97"/>
    <w:rsid w:val="009E3555"/>
    <w:rsid w:val="009F0B8C"/>
    <w:rsid w:val="009F0E52"/>
    <w:rsid w:val="009F1837"/>
    <w:rsid w:val="00A01F7E"/>
    <w:rsid w:val="00A025EE"/>
    <w:rsid w:val="00A0291E"/>
    <w:rsid w:val="00A0336B"/>
    <w:rsid w:val="00A06282"/>
    <w:rsid w:val="00A074A2"/>
    <w:rsid w:val="00A10BE9"/>
    <w:rsid w:val="00A116B2"/>
    <w:rsid w:val="00A17244"/>
    <w:rsid w:val="00A23092"/>
    <w:rsid w:val="00A31417"/>
    <w:rsid w:val="00A33119"/>
    <w:rsid w:val="00A3562F"/>
    <w:rsid w:val="00A423D1"/>
    <w:rsid w:val="00A42536"/>
    <w:rsid w:val="00A5218E"/>
    <w:rsid w:val="00A5374B"/>
    <w:rsid w:val="00A54622"/>
    <w:rsid w:val="00A55146"/>
    <w:rsid w:val="00A55FA7"/>
    <w:rsid w:val="00A66971"/>
    <w:rsid w:val="00A73E3F"/>
    <w:rsid w:val="00A76CA3"/>
    <w:rsid w:val="00A76FD9"/>
    <w:rsid w:val="00A8237C"/>
    <w:rsid w:val="00A82E03"/>
    <w:rsid w:val="00A86719"/>
    <w:rsid w:val="00A954A1"/>
    <w:rsid w:val="00AA7397"/>
    <w:rsid w:val="00AB3002"/>
    <w:rsid w:val="00AB3C11"/>
    <w:rsid w:val="00AC670C"/>
    <w:rsid w:val="00AC7753"/>
    <w:rsid w:val="00AC7946"/>
    <w:rsid w:val="00AD69F7"/>
    <w:rsid w:val="00AE5011"/>
    <w:rsid w:val="00AE5D0F"/>
    <w:rsid w:val="00AE7719"/>
    <w:rsid w:val="00AF4EBC"/>
    <w:rsid w:val="00B02ED3"/>
    <w:rsid w:val="00B034B0"/>
    <w:rsid w:val="00B045C6"/>
    <w:rsid w:val="00B142BF"/>
    <w:rsid w:val="00B22916"/>
    <w:rsid w:val="00B22C63"/>
    <w:rsid w:val="00B2304D"/>
    <w:rsid w:val="00B2417A"/>
    <w:rsid w:val="00B24BA1"/>
    <w:rsid w:val="00B30545"/>
    <w:rsid w:val="00B31DB9"/>
    <w:rsid w:val="00B36FD5"/>
    <w:rsid w:val="00B3796F"/>
    <w:rsid w:val="00B50290"/>
    <w:rsid w:val="00B51FBA"/>
    <w:rsid w:val="00B612DD"/>
    <w:rsid w:val="00B634D7"/>
    <w:rsid w:val="00B644B3"/>
    <w:rsid w:val="00B654FF"/>
    <w:rsid w:val="00B70433"/>
    <w:rsid w:val="00B71638"/>
    <w:rsid w:val="00B74A04"/>
    <w:rsid w:val="00B84C65"/>
    <w:rsid w:val="00B85A52"/>
    <w:rsid w:val="00B900F3"/>
    <w:rsid w:val="00B906D1"/>
    <w:rsid w:val="00BB1B5A"/>
    <w:rsid w:val="00BB1D7C"/>
    <w:rsid w:val="00BB3F8D"/>
    <w:rsid w:val="00BC21DB"/>
    <w:rsid w:val="00BC3603"/>
    <w:rsid w:val="00BC6F07"/>
    <w:rsid w:val="00BD46D6"/>
    <w:rsid w:val="00BE01A1"/>
    <w:rsid w:val="00BE1B97"/>
    <w:rsid w:val="00BE202D"/>
    <w:rsid w:val="00BE3CFD"/>
    <w:rsid w:val="00BE64AB"/>
    <w:rsid w:val="00BE699C"/>
    <w:rsid w:val="00BF1A54"/>
    <w:rsid w:val="00C04FB6"/>
    <w:rsid w:val="00C06871"/>
    <w:rsid w:val="00C11F10"/>
    <w:rsid w:val="00C131E7"/>
    <w:rsid w:val="00C140EA"/>
    <w:rsid w:val="00C178C1"/>
    <w:rsid w:val="00C2538E"/>
    <w:rsid w:val="00C32B3A"/>
    <w:rsid w:val="00C351E2"/>
    <w:rsid w:val="00C3601F"/>
    <w:rsid w:val="00C432F0"/>
    <w:rsid w:val="00C46A0E"/>
    <w:rsid w:val="00C47093"/>
    <w:rsid w:val="00C508E2"/>
    <w:rsid w:val="00C534C4"/>
    <w:rsid w:val="00C538E0"/>
    <w:rsid w:val="00C53C1F"/>
    <w:rsid w:val="00C558CE"/>
    <w:rsid w:val="00C568FA"/>
    <w:rsid w:val="00C64BB7"/>
    <w:rsid w:val="00C669E2"/>
    <w:rsid w:val="00C70138"/>
    <w:rsid w:val="00C72023"/>
    <w:rsid w:val="00C73333"/>
    <w:rsid w:val="00C738E3"/>
    <w:rsid w:val="00C74CFD"/>
    <w:rsid w:val="00C75164"/>
    <w:rsid w:val="00C81FD1"/>
    <w:rsid w:val="00C8251F"/>
    <w:rsid w:val="00C830DB"/>
    <w:rsid w:val="00C8577D"/>
    <w:rsid w:val="00C93132"/>
    <w:rsid w:val="00C96343"/>
    <w:rsid w:val="00CA252E"/>
    <w:rsid w:val="00CA44D7"/>
    <w:rsid w:val="00CA4A0C"/>
    <w:rsid w:val="00CA4D08"/>
    <w:rsid w:val="00CA72B0"/>
    <w:rsid w:val="00CB1C9B"/>
    <w:rsid w:val="00CB2219"/>
    <w:rsid w:val="00CB224D"/>
    <w:rsid w:val="00CB4B4C"/>
    <w:rsid w:val="00CB579A"/>
    <w:rsid w:val="00CC0359"/>
    <w:rsid w:val="00CC184F"/>
    <w:rsid w:val="00CC197B"/>
    <w:rsid w:val="00CC27D1"/>
    <w:rsid w:val="00CC5137"/>
    <w:rsid w:val="00CC7B4A"/>
    <w:rsid w:val="00CD3B11"/>
    <w:rsid w:val="00CE5E43"/>
    <w:rsid w:val="00CE610F"/>
    <w:rsid w:val="00CE6AF8"/>
    <w:rsid w:val="00CF12A9"/>
    <w:rsid w:val="00CF2BAA"/>
    <w:rsid w:val="00CF6B7D"/>
    <w:rsid w:val="00D01EE8"/>
    <w:rsid w:val="00D04B07"/>
    <w:rsid w:val="00D07C11"/>
    <w:rsid w:val="00D114B4"/>
    <w:rsid w:val="00D15B17"/>
    <w:rsid w:val="00D162D3"/>
    <w:rsid w:val="00D17EB4"/>
    <w:rsid w:val="00D17EFF"/>
    <w:rsid w:val="00D331B4"/>
    <w:rsid w:val="00D413BD"/>
    <w:rsid w:val="00D4516B"/>
    <w:rsid w:val="00D5023A"/>
    <w:rsid w:val="00D51CF4"/>
    <w:rsid w:val="00D526CA"/>
    <w:rsid w:val="00D52A52"/>
    <w:rsid w:val="00D538FE"/>
    <w:rsid w:val="00D54D56"/>
    <w:rsid w:val="00D56D62"/>
    <w:rsid w:val="00D57EDF"/>
    <w:rsid w:val="00D7271C"/>
    <w:rsid w:val="00D75303"/>
    <w:rsid w:val="00D80066"/>
    <w:rsid w:val="00D8046D"/>
    <w:rsid w:val="00D83B4C"/>
    <w:rsid w:val="00D85FF8"/>
    <w:rsid w:val="00D86AC2"/>
    <w:rsid w:val="00D91FED"/>
    <w:rsid w:val="00D959FA"/>
    <w:rsid w:val="00D95EE9"/>
    <w:rsid w:val="00DA0298"/>
    <w:rsid w:val="00DA118F"/>
    <w:rsid w:val="00DA4A75"/>
    <w:rsid w:val="00DB1D0A"/>
    <w:rsid w:val="00DB29B7"/>
    <w:rsid w:val="00DB3AEC"/>
    <w:rsid w:val="00DC4669"/>
    <w:rsid w:val="00DC4743"/>
    <w:rsid w:val="00DD0D9D"/>
    <w:rsid w:val="00DD1493"/>
    <w:rsid w:val="00DD21B3"/>
    <w:rsid w:val="00DD394D"/>
    <w:rsid w:val="00DD5414"/>
    <w:rsid w:val="00DE25C7"/>
    <w:rsid w:val="00DE25EE"/>
    <w:rsid w:val="00DE3FD0"/>
    <w:rsid w:val="00DE4F1C"/>
    <w:rsid w:val="00DE676B"/>
    <w:rsid w:val="00DE7A27"/>
    <w:rsid w:val="00DF1FD9"/>
    <w:rsid w:val="00DF229A"/>
    <w:rsid w:val="00E00B5F"/>
    <w:rsid w:val="00E06376"/>
    <w:rsid w:val="00E108B0"/>
    <w:rsid w:val="00E149A6"/>
    <w:rsid w:val="00E3308F"/>
    <w:rsid w:val="00E35979"/>
    <w:rsid w:val="00E412DD"/>
    <w:rsid w:val="00E4575A"/>
    <w:rsid w:val="00E46337"/>
    <w:rsid w:val="00E52118"/>
    <w:rsid w:val="00E52426"/>
    <w:rsid w:val="00E53A33"/>
    <w:rsid w:val="00E55BAD"/>
    <w:rsid w:val="00E609EE"/>
    <w:rsid w:val="00E67FEC"/>
    <w:rsid w:val="00E72549"/>
    <w:rsid w:val="00E729D7"/>
    <w:rsid w:val="00E73CB1"/>
    <w:rsid w:val="00E759AC"/>
    <w:rsid w:val="00E860E4"/>
    <w:rsid w:val="00E8726C"/>
    <w:rsid w:val="00E87EDC"/>
    <w:rsid w:val="00E9257E"/>
    <w:rsid w:val="00E951DA"/>
    <w:rsid w:val="00E95235"/>
    <w:rsid w:val="00E97C75"/>
    <w:rsid w:val="00E97F91"/>
    <w:rsid w:val="00EA4763"/>
    <w:rsid w:val="00EA5C89"/>
    <w:rsid w:val="00EA71D7"/>
    <w:rsid w:val="00EB0BED"/>
    <w:rsid w:val="00EB259A"/>
    <w:rsid w:val="00EB2A7E"/>
    <w:rsid w:val="00EB31DD"/>
    <w:rsid w:val="00EB6ED1"/>
    <w:rsid w:val="00EC2F1A"/>
    <w:rsid w:val="00EC42EB"/>
    <w:rsid w:val="00EC4DEB"/>
    <w:rsid w:val="00ED6F61"/>
    <w:rsid w:val="00EF13B4"/>
    <w:rsid w:val="00EF268B"/>
    <w:rsid w:val="00EF4806"/>
    <w:rsid w:val="00EF6C3B"/>
    <w:rsid w:val="00F1033E"/>
    <w:rsid w:val="00F17FE0"/>
    <w:rsid w:val="00F20D96"/>
    <w:rsid w:val="00F21191"/>
    <w:rsid w:val="00F241CD"/>
    <w:rsid w:val="00F27148"/>
    <w:rsid w:val="00F302FA"/>
    <w:rsid w:val="00F34AFD"/>
    <w:rsid w:val="00F3536F"/>
    <w:rsid w:val="00F3565B"/>
    <w:rsid w:val="00F37787"/>
    <w:rsid w:val="00F476FA"/>
    <w:rsid w:val="00F530E9"/>
    <w:rsid w:val="00F54C8F"/>
    <w:rsid w:val="00F5707B"/>
    <w:rsid w:val="00F57ADB"/>
    <w:rsid w:val="00F64734"/>
    <w:rsid w:val="00F66378"/>
    <w:rsid w:val="00F717FB"/>
    <w:rsid w:val="00F71D7E"/>
    <w:rsid w:val="00F728A4"/>
    <w:rsid w:val="00F75BD8"/>
    <w:rsid w:val="00F762E4"/>
    <w:rsid w:val="00F9062A"/>
    <w:rsid w:val="00F95327"/>
    <w:rsid w:val="00F9585F"/>
    <w:rsid w:val="00F966AE"/>
    <w:rsid w:val="00FA118C"/>
    <w:rsid w:val="00FA2CAE"/>
    <w:rsid w:val="00FA2CCB"/>
    <w:rsid w:val="00FA3951"/>
    <w:rsid w:val="00FA4F5D"/>
    <w:rsid w:val="00FA634C"/>
    <w:rsid w:val="00FA6CA8"/>
    <w:rsid w:val="00FB04A0"/>
    <w:rsid w:val="00FB0D87"/>
    <w:rsid w:val="00FB17F7"/>
    <w:rsid w:val="00FB47A3"/>
    <w:rsid w:val="00FB5905"/>
    <w:rsid w:val="00FC1694"/>
    <w:rsid w:val="00FC320C"/>
    <w:rsid w:val="00FC493B"/>
    <w:rsid w:val="00FD1212"/>
    <w:rsid w:val="00FD3B56"/>
    <w:rsid w:val="00FD4EA0"/>
    <w:rsid w:val="00FD4EBE"/>
    <w:rsid w:val="00FE094B"/>
    <w:rsid w:val="00FE126D"/>
    <w:rsid w:val="00FF1D1A"/>
    <w:rsid w:val="00FF30CD"/>
    <w:rsid w:val="00FF3C1B"/>
    <w:rsid w:val="00FF4682"/>
    <w:rsid w:val="00FF5C5A"/>
    <w:rsid w:val="00FF7D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0643B"/>
    <w:pPr>
      <w:spacing w:after="200" w:line="276" w:lineRule="auto"/>
    </w:pPr>
    <w:rPr>
      <w:sz w:val="22"/>
      <w:szCs w:val="22"/>
    </w:rPr>
  </w:style>
  <w:style w:type="paragraph" w:styleId="Heading1">
    <w:name w:val="heading 1"/>
    <w:basedOn w:val="Normal"/>
    <w:next w:val="Normal"/>
    <w:link w:val="Heading1Char"/>
    <w:uiPriority w:val="9"/>
    <w:qFormat/>
    <w:rsid w:val="00C131E7"/>
    <w:pPr>
      <w:keepNext/>
      <w:keepLines/>
      <w:spacing w:before="240" w:after="12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F4806"/>
    <w:pPr>
      <w:keepNext/>
      <w:keepLines/>
      <w:spacing w:before="200" w:after="12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5A132A"/>
    <w:pPr>
      <w:keepNext/>
      <w:keepLines/>
      <w:spacing w:after="120" w:line="240" w:lineRule="auto"/>
      <w:contextualSpacing/>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C178C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1E7"/>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EF4806"/>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5A132A"/>
    <w:rPr>
      <w:rFonts w:ascii="Cambria" w:eastAsia="Times New Roman" w:hAnsi="Cambria"/>
      <w:b/>
      <w:bCs/>
      <w:color w:val="4F81BD"/>
      <w:sz w:val="22"/>
      <w:szCs w:val="22"/>
    </w:rPr>
  </w:style>
  <w:style w:type="paragraph" w:styleId="ListParagraph">
    <w:name w:val="List Paragraph"/>
    <w:basedOn w:val="Normal"/>
    <w:uiPriority w:val="34"/>
    <w:qFormat/>
    <w:rsid w:val="003024CF"/>
    <w:pPr>
      <w:ind w:left="720"/>
      <w:contextualSpacing/>
    </w:pPr>
  </w:style>
  <w:style w:type="paragraph" w:styleId="Header">
    <w:name w:val="header"/>
    <w:basedOn w:val="Normal"/>
    <w:link w:val="HeaderChar"/>
    <w:uiPriority w:val="99"/>
    <w:unhideWhenUsed/>
    <w:rsid w:val="00A01F7E"/>
    <w:pPr>
      <w:tabs>
        <w:tab w:val="center" w:pos="4680"/>
        <w:tab w:val="right" w:pos="9360"/>
      </w:tabs>
    </w:pPr>
  </w:style>
  <w:style w:type="character" w:customStyle="1" w:styleId="HeaderChar">
    <w:name w:val="Header Char"/>
    <w:basedOn w:val="DefaultParagraphFont"/>
    <w:link w:val="Header"/>
    <w:uiPriority w:val="99"/>
    <w:rsid w:val="00A01F7E"/>
    <w:rPr>
      <w:sz w:val="22"/>
      <w:szCs w:val="22"/>
    </w:rPr>
  </w:style>
  <w:style w:type="paragraph" w:styleId="Footer">
    <w:name w:val="footer"/>
    <w:basedOn w:val="Normal"/>
    <w:link w:val="FooterChar"/>
    <w:uiPriority w:val="99"/>
    <w:semiHidden/>
    <w:unhideWhenUsed/>
    <w:rsid w:val="00A01F7E"/>
    <w:pPr>
      <w:tabs>
        <w:tab w:val="center" w:pos="4680"/>
        <w:tab w:val="right" w:pos="9360"/>
      </w:tabs>
    </w:pPr>
  </w:style>
  <w:style w:type="character" w:customStyle="1" w:styleId="FooterChar">
    <w:name w:val="Footer Char"/>
    <w:basedOn w:val="DefaultParagraphFont"/>
    <w:link w:val="Footer"/>
    <w:uiPriority w:val="99"/>
    <w:semiHidden/>
    <w:rsid w:val="00A01F7E"/>
    <w:rPr>
      <w:sz w:val="22"/>
      <w:szCs w:val="22"/>
    </w:rPr>
  </w:style>
  <w:style w:type="paragraph" w:styleId="BalloonText">
    <w:name w:val="Balloon Text"/>
    <w:basedOn w:val="Normal"/>
    <w:link w:val="BalloonTextChar"/>
    <w:uiPriority w:val="99"/>
    <w:semiHidden/>
    <w:unhideWhenUsed/>
    <w:rsid w:val="00D52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A52"/>
    <w:rPr>
      <w:rFonts w:ascii="Tahoma" w:hAnsi="Tahoma" w:cs="Tahoma"/>
      <w:sz w:val="16"/>
      <w:szCs w:val="16"/>
    </w:rPr>
  </w:style>
  <w:style w:type="character" w:customStyle="1" w:styleId="Heading4Char">
    <w:name w:val="Heading 4 Char"/>
    <w:basedOn w:val="DefaultParagraphFont"/>
    <w:link w:val="Heading4"/>
    <w:uiPriority w:val="9"/>
    <w:rsid w:val="00C178C1"/>
    <w:rPr>
      <w:rFonts w:ascii="Cambria" w:eastAsia="Times New Roman" w:hAnsi="Cambria" w:cs="Times New Roman"/>
      <w:b/>
      <w:bCs/>
      <w:i/>
      <w:iCs/>
      <w:color w:val="4F81BD"/>
      <w:sz w:val="22"/>
      <w:szCs w:val="22"/>
    </w:rPr>
  </w:style>
  <w:style w:type="paragraph" w:styleId="Caption">
    <w:name w:val="caption"/>
    <w:basedOn w:val="Normal"/>
    <w:next w:val="Normal"/>
    <w:uiPriority w:val="35"/>
    <w:qFormat/>
    <w:rsid w:val="00980A61"/>
    <w:rPr>
      <w:b/>
      <w:bCs/>
      <w:sz w:val="20"/>
      <w:szCs w:val="20"/>
    </w:rPr>
  </w:style>
  <w:style w:type="paragraph" w:styleId="FootnoteText">
    <w:name w:val="footnote text"/>
    <w:basedOn w:val="Normal"/>
    <w:link w:val="FootnoteTextChar"/>
    <w:uiPriority w:val="99"/>
    <w:unhideWhenUsed/>
    <w:rsid w:val="007D7645"/>
    <w:rPr>
      <w:sz w:val="20"/>
      <w:szCs w:val="20"/>
    </w:rPr>
  </w:style>
  <w:style w:type="character" w:customStyle="1" w:styleId="FootnoteTextChar">
    <w:name w:val="Footnote Text Char"/>
    <w:basedOn w:val="DefaultParagraphFont"/>
    <w:link w:val="FootnoteText"/>
    <w:uiPriority w:val="99"/>
    <w:rsid w:val="007D7645"/>
  </w:style>
  <w:style w:type="character" w:styleId="FootnoteReference">
    <w:name w:val="footnote reference"/>
    <w:basedOn w:val="DefaultParagraphFont"/>
    <w:uiPriority w:val="99"/>
    <w:semiHidden/>
    <w:unhideWhenUsed/>
    <w:rsid w:val="007D7645"/>
    <w:rPr>
      <w:vertAlign w:val="superscript"/>
    </w:rPr>
  </w:style>
  <w:style w:type="paragraph" w:styleId="TOCHeading">
    <w:name w:val="TOC Heading"/>
    <w:basedOn w:val="Heading1"/>
    <w:next w:val="Normal"/>
    <w:uiPriority w:val="39"/>
    <w:qFormat/>
    <w:rsid w:val="00CB2219"/>
    <w:pPr>
      <w:outlineLvl w:val="9"/>
    </w:pPr>
  </w:style>
  <w:style w:type="paragraph" w:styleId="TOC2">
    <w:name w:val="toc 2"/>
    <w:basedOn w:val="Normal"/>
    <w:next w:val="Normal"/>
    <w:autoRedefine/>
    <w:uiPriority w:val="39"/>
    <w:unhideWhenUsed/>
    <w:rsid w:val="00CB2219"/>
    <w:pPr>
      <w:tabs>
        <w:tab w:val="right" w:leader="dot" w:pos="9350"/>
      </w:tabs>
      <w:spacing w:after="0"/>
      <w:ind w:left="216"/>
    </w:pPr>
  </w:style>
  <w:style w:type="paragraph" w:styleId="TOC1">
    <w:name w:val="toc 1"/>
    <w:basedOn w:val="Normal"/>
    <w:next w:val="Normal"/>
    <w:autoRedefine/>
    <w:uiPriority w:val="39"/>
    <w:unhideWhenUsed/>
    <w:rsid w:val="00FF5C5A"/>
    <w:pPr>
      <w:tabs>
        <w:tab w:val="right" w:leader="dot" w:pos="9350"/>
      </w:tabs>
      <w:spacing w:before="120" w:after="0"/>
    </w:pPr>
  </w:style>
  <w:style w:type="character" w:styleId="Hyperlink">
    <w:name w:val="Hyperlink"/>
    <w:basedOn w:val="DefaultParagraphFont"/>
    <w:uiPriority w:val="99"/>
    <w:unhideWhenUsed/>
    <w:rsid w:val="00CB2219"/>
    <w:rPr>
      <w:color w:val="0000FF"/>
      <w:u w:val="single"/>
    </w:rPr>
  </w:style>
  <w:style w:type="character" w:customStyle="1" w:styleId="CharChar3">
    <w:name w:val="Char Char3"/>
    <w:basedOn w:val="DefaultParagraphFont"/>
    <w:rsid w:val="00EF4806"/>
    <w:rPr>
      <w:b/>
      <w:sz w:val="24"/>
      <w:szCs w:val="24"/>
      <w:lang w:val="en-US" w:eastAsia="en-US" w:bidi="ar-SA"/>
    </w:rPr>
  </w:style>
  <w:style w:type="paragraph" w:customStyle="1" w:styleId="Default">
    <w:name w:val="Default"/>
    <w:rsid w:val="00B36FD5"/>
    <w:pPr>
      <w:autoSpaceDE w:val="0"/>
      <w:autoSpaceDN w:val="0"/>
      <w:adjustRightInd w:val="0"/>
    </w:pPr>
    <w:rPr>
      <w:rFonts w:ascii="Times New Roman" w:hAnsi="Times New Roman"/>
      <w:color w:val="000000"/>
      <w:sz w:val="24"/>
      <w:szCs w:val="24"/>
    </w:rPr>
  </w:style>
  <w:style w:type="paragraph" w:styleId="TOC3">
    <w:name w:val="toc 3"/>
    <w:basedOn w:val="Normal"/>
    <w:next w:val="Normal"/>
    <w:autoRedefine/>
    <w:uiPriority w:val="39"/>
    <w:unhideWhenUsed/>
    <w:rsid w:val="00A10BE9"/>
    <w:pPr>
      <w:tabs>
        <w:tab w:val="right" w:leader="dot" w:pos="9350"/>
      </w:tabs>
      <w:spacing w:after="0" w:line="240" w:lineRule="auto"/>
      <w:ind w:left="446"/>
      <w:contextualSpacing/>
    </w:pPr>
  </w:style>
  <w:style w:type="paragraph" w:styleId="NormalWeb">
    <w:name w:val="Normal (Web)"/>
    <w:basedOn w:val="Normal"/>
    <w:uiPriority w:val="99"/>
    <w:semiHidden/>
    <w:unhideWhenUsed/>
    <w:rsid w:val="005E38D6"/>
    <w:pPr>
      <w:spacing w:before="100" w:beforeAutospacing="1" w:after="100" w:afterAutospacing="1" w:line="336" w:lineRule="auto"/>
    </w:pPr>
    <w:rPr>
      <w:rFonts w:ascii="Trebuchet MS" w:eastAsia="Times New Roman" w:hAnsi="Trebuchet MS"/>
      <w:color w:val="333333"/>
      <w:sz w:val="13"/>
      <w:szCs w:val="13"/>
    </w:rPr>
  </w:style>
  <w:style w:type="paragraph" w:styleId="PlainText">
    <w:name w:val="Plain Text"/>
    <w:basedOn w:val="Normal"/>
    <w:link w:val="PlainTextChar"/>
    <w:uiPriority w:val="99"/>
    <w:unhideWhenUsed/>
    <w:rsid w:val="00383D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83D44"/>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1B2F4A"/>
    <w:rPr>
      <w:sz w:val="16"/>
      <w:szCs w:val="16"/>
    </w:rPr>
  </w:style>
  <w:style w:type="paragraph" w:styleId="CommentText">
    <w:name w:val="annotation text"/>
    <w:basedOn w:val="Normal"/>
    <w:link w:val="CommentTextChar"/>
    <w:uiPriority w:val="99"/>
    <w:semiHidden/>
    <w:unhideWhenUsed/>
    <w:rsid w:val="001B2F4A"/>
    <w:rPr>
      <w:sz w:val="20"/>
      <w:szCs w:val="20"/>
    </w:rPr>
  </w:style>
  <w:style w:type="character" w:customStyle="1" w:styleId="CommentTextChar">
    <w:name w:val="Comment Text Char"/>
    <w:basedOn w:val="DefaultParagraphFont"/>
    <w:link w:val="CommentText"/>
    <w:uiPriority w:val="99"/>
    <w:semiHidden/>
    <w:rsid w:val="001B2F4A"/>
  </w:style>
  <w:style w:type="paragraph" w:styleId="CommentSubject">
    <w:name w:val="annotation subject"/>
    <w:basedOn w:val="CommentText"/>
    <w:next w:val="CommentText"/>
    <w:link w:val="CommentSubjectChar"/>
    <w:uiPriority w:val="99"/>
    <w:semiHidden/>
    <w:unhideWhenUsed/>
    <w:rsid w:val="001B2F4A"/>
    <w:rPr>
      <w:b/>
      <w:bCs/>
    </w:rPr>
  </w:style>
  <w:style w:type="character" w:customStyle="1" w:styleId="CommentSubjectChar">
    <w:name w:val="Comment Subject Char"/>
    <w:basedOn w:val="CommentTextChar"/>
    <w:link w:val="CommentSubject"/>
    <w:uiPriority w:val="99"/>
    <w:semiHidden/>
    <w:rsid w:val="001B2F4A"/>
    <w:rPr>
      <w:b/>
      <w:bCs/>
    </w:rPr>
  </w:style>
  <w:style w:type="paragraph" w:styleId="Revision">
    <w:name w:val="Revision"/>
    <w:hidden/>
    <w:uiPriority w:val="99"/>
    <w:semiHidden/>
    <w:rsid w:val="00CC5137"/>
    <w:rPr>
      <w:sz w:val="22"/>
      <w:szCs w:val="22"/>
    </w:rPr>
  </w:style>
  <w:style w:type="table" w:styleId="TableGrid">
    <w:name w:val="Table Grid"/>
    <w:basedOn w:val="TableNormal"/>
    <w:uiPriority w:val="59"/>
    <w:rsid w:val="002D1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Default"/>
    <w:uiPriority w:val="1"/>
    <w:qFormat/>
    <w:rsid w:val="00025049"/>
    <w:pPr>
      <w:ind w:left="252" w:hanging="252"/>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589235575">
      <w:bodyDiv w:val="1"/>
      <w:marLeft w:val="0"/>
      <w:marRight w:val="0"/>
      <w:marTop w:val="0"/>
      <w:marBottom w:val="0"/>
      <w:divBdr>
        <w:top w:val="none" w:sz="0" w:space="0" w:color="auto"/>
        <w:left w:val="none" w:sz="0" w:space="0" w:color="auto"/>
        <w:bottom w:val="none" w:sz="0" w:space="0" w:color="auto"/>
        <w:right w:val="none" w:sz="0" w:space="0" w:color="auto"/>
      </w:divBdr>
    </w:div>
    <w:div w:id="16199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A1AE-7166-4142-8C61-AFB5261B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5740</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Northern Tier Transmission Group</vt:lpstr>
    </vt:vector>
  </TitlesOfParts>
  <Company>Hewlett-Packard</Company>
  <LinksUpToDate>false</LinksUpToDate>
  <CharactersWithSpaces>38382</CharactersWithSpaces>
  <SharedDoc>false</SharedDoc>
  <HLinks>
    <vt:vector size="186" baseType="variant">
      <vt:variant>
        <vt:i4>2031673</vt:i4>
      </vt:variant>
      <vt:variant>
        <vt:i4>182</vt:i4>
      </vt:variant>
      <vt:variant>
        <vt:i4>0</vt:i4>
      </vt:variant>
      <vt:variant>
        <vt:i4>5</vt:i4>
      </vt:variant>
      <vt:variant>
        <vt:lpwstr/>
      </vt:variant>
      <vt:variant>
        <vt:lpwstr>_Toc318637187</vt:lpwstr>
      </vt:variant>
      <vt:variant>
        <vt:i4>2031673</vt:i4>
      </vt:variant>
      <vt:variant>
        <vt:i4>176</vt:i4>
      </vt:variant>
      <vt:variant>
        <vt:i4>0</vt:i4>
      </vt:variant>
      <vt:variant>
        <vt:i4>5</vt:i4>
      </vt:variant>
      <vt:variant>
        <vt:lpwstr/>
      </vt:variant>
      <vt:variant>
        <vt:lpwstr>_Toc318637186</vt:lpwstr>
      </vt:variant>
      <vt:variant>
        <vt:i4>2031673</vt:i4>
      </vt:variant>
      <vt:variant>
        <vt:i4>170</vt:i4>
      </vt:variant>
      <vt:variant>
        <vt:i4>0</vt:i4>
      </vt:variant>
      <vt:variant>
        <vt:i4>5</vt:i4>
      </vt:variant>
      <vt:variant>
        <vt:lpwstr/>
      </vt:variant>
      <vt:variant>
        <vt:lpwstr>_Toc318637185</vt:lpwstr>
      </vt:variant>
      <vt:variant>
        <vt:i4>2031673</vt:i4>
      </vt:variant>
      <vt:variant>
        <vt:i4>164</vt:i4>
      </vt:variant>
      <vt:variant>
        <vt:i4>0</vt:i4>
      </vt:variant>
      <vt:variant>
        <vt:i4>5</vt:i4>
      </vt:variant>
      <vt:variant>
        <vt:lpwstr/>
      </vt:variant>
      <vt:variant>
        <vt:lpwstr>_Toc318637184</vt:lpwstr>
      </vt:variant>
      <vt:variant>
        <vt:i4>2031673</vt:i4>
      </vt:variant>
      <vt:variant>
        <vt:i4>158</vt:i4>
      </vt:variant>
      <vt:variant>
        <vt:i4>0</vt:i4>
      </vt:variant>
      <vt:variant>
        <vt:i4>5</vt:i4>
      </vt:variant>
      <vt:variant>
        <vt:lpwstr/>
      </vt:variant>
      <vt:variant>
        <vt:lpwstr>_Toc318637183</vt:lpwstr>
      </vt:variant>
      <vt:variant>
        <vt:i4>2031673</vt:i4>
      </vt:variant>
      <vt:variant>
        <vt:i4>152</vt:i4>
      </vt:variant>
      <vt:variant>
        <vt:i4>0</vt:i4>
      </vt:variant>
      <vt:variant>
        <vt:i4>5</vt:i4>
      </vt:variant>
      <vt:variant>
        <vt:lpwstr/>
      </vt:variant>
      <vt:variant>
        <vt:lpwstr>_Toc318637182</vt:lpwstr>
      </vt:variant>
      <vt:variant>
        <vt:i4>2031673</vt:i4>
      </vt:variant>
      <vt:variant>
        <vt:i4>146</vt:i4>
      </vt:variant>
      <vt:variant>
        <vt:i4>0</vt:i4>
      </vt:variant>
      <vt:variant>
        <vt:i4>5</vt:i4>
      </vt:variant>
      <vt:variant>
        <vt:lpwstr/>
      </vt:variant>
      <vt:variant>
        <vt:lpwstr>_Toc318637181</vt:lpwstr>
      </vt:variant>
      <vt:variant>
        <vt:i4>2031673</vt:i4>
      </vt:variant>
      <vt:variant>
        <vt:i4>140</vt:i4>
      </vt:variant>
      <vt:variant>
        <vt:i4>0</vt:i4>
      </vt:variant>
      <vt:variant>
        <vt:i4>5</vt:i4>
      </vt:variant>
      <vt:variant>
        <vt:lpwstr/>
      </vt:variant>
      <vt:variant>
        <vt:lpwstr>_Toc318637180</vt:lpwstr>
      </vt:variant>
      <vt:variant>
        <vt:i4>1048633</vt:i4>
      </vt:variant>
      <vt:variant>
        <vt:i4>134</vt:i4>
      </vt:variant>
      <vt:variant>
        <vt:i4>0</vt:i4>
      </vt:variant>
      <vt:variant>
        <vt:i4>5</vt:i4>
      </vt:variant>
      <vt:variant>
        <vt:lpwstr/>
      </vt:variant>
      <vt:variant>
        <vt:lpwstr>_Toc318637179</vt:lpwstr>
      </vt:variant>
      <vt:variant>
        <vt:i4>1048633</vt:i4>
      </vt:variant>
      <vt:variant>
        <vt:i4>128</vt:i4>
      </vt:variant>
      <vt:variant>
        <vt:i4>0</vt:i4>
      </vt:variant>
      <vt:variant>
        <vt:i4>5</vt:i4>
      </vt:variant>
      <vt:variant>
        <vt:lpwstr/>
      </vt:variant>
      <vt:variant>
        <vt:lpwstr>_Toc318637178</vt:lpwstr>
      </vt:variant>
      <vt:variant>
        <vt:i4>1048633</vt:i4>
      </vt:variant>
      <vt:variant>
        <vt:i4>122</vt:i4>
      </vt:variant>
      <vt:variant>
        <vt:i4>0</vt:i4>
      </vt:variant>
      <vt:variant>
        <vt:i4>5</vt:i4>
      </vt:variant>
      <vt:variant>
        <vt:lpwstr/>
      </vt:variant>
      <vt:variant>
        <vt:lpwstr>_Toc318637177</vt:lpwstr>
      </vt:variant>
      <vt:variant>
        <vt:i4>1048633</vt:i4>
      </vt:variant>
      <vt:variant>
        <vt:i4>116</vt:i4>
      </vt:variant>
      <vt:variant>
        <vt:i4>0</vt:i4>
      </vt:variant>
      <vt:variant>
        <vt:i4>5</vt:i4>
      </vt:variant>
      <vt:variant>
        <vt:lpwstr/>
      </vt:variant>
      <vt:variant>
        <vt:lpwstr>_Toc318637176</vt:lpwstr>
      </vt:variant>
      <vt:variant>
        <vt:i4>1048633</vt:i4>
      </vt:variant>
      <vt:variant>
        <vt:i4>110</vt:i4>
      </vt:variant>
      <vt:variant>
        <vt:i4>0</vt:i4>
      </vt:variant>
      <vt:variant>
        <vt:i4>5</vt:i4>
      </vt:variant>
      <vt:variant>
        <vt:lpwstr/>
      </vt:variant>
      <vt:variant>
        <vt:lpwstr>_Toc318637175</vt:lpwstr>
      </vt:variant>
      <vt:variant>
        <vt:i4>1048633</vt:i4>
      </vt:variant>
      <vt:variant>
        <vt:i4>104</vt:i4>
      </vt:variant>
      <vt:variant>
        <vt:i4>0</vt:i4>
      </vt:variant>
      <vt:variant>
        <vt:i4>5</vt:i4>
      </vt:variant>
      <vt:variant>
        <vt:lpwstr/>
      </vt:variant>
      <vt:variant>
        <vt:lpwstr>_Toc318637174</vt:lpwstr>
      </vt:variant>
      <vt:variant>
        <vt:i4>1048633</vt:i4>
      </vt:variant>
      <vt:variant>
        <vt:i4>98</vt:i4>
      </vt:variant>
      <vt:variant>
        <vt:i4>0</vt:i4>
      </vt:variant>
      <vt:variant>
        <vt:i4>5</vt:i4>
      </vt:variant>
      <vt:variant>
        <vt:lpwstr/>
      </vt:variant>
      <vt:variant>
        <vt:lpwstr>_Toc318637173</vt:lpwstr>
      </vt:variant>
      <vt:variant>
        <vt:i4>1048633</vt:i4>
      </vt:variant>
      <vt:variant>
        <vt:i4>92</vt:i4>
      </vt:variant>
      <vt:variant>
        <vt:i4>0</vt:i4>
      </vt:variant>
      <vt:variant>
        <vt:i4>5</vt:i4>
      </vt:variant>
      <vt:variant>
        <vt:lpwstr/>
      </vt:variant>
      <vt:variant>
        <vt:lpwstr>_Toc318637172</vt:lpwstr>
      </vt:variant>
      <vt:variant>
        <vt:i4>1048633</vt:i4>
      </vt:variant>
      <vt:variant>
        <vt:i4>86</vt:i4>
      </vt:variant>
      <vt:variant>
        <vt:i4>0</vt:i4>
      </vt:variant>
      <vt:variant>
        <vt:i4>5</vt:i4>
      </vt:variant>
      <vt:variant>
        <vt:lpwstr/>
      </vt:variant>
      <vt:variant>
        <vt:lpwstr>_Toc318637171</vt:lpwstr>
      </vt:variant>
      <vt:variant>
        <vt:i4>1048633</vt:i4>
      </vt:variant>
      <vt:variant>
        <vt:i4>80</vt:i4>
      </vt:variant>
      <vt:variant>
        <vt:i4>0</vt:i4>
      </vt:variant>
      <vt:variant>
        <vt:i4>5</vt:i4>
      </vt:variant>
      <vt:variant>
        <vt:lpwstr/>
      </vt:variant>
      <vt:variant>
        <vt:lpwstr>_Toc318637170</vt:lpwstr>
      </vt:variant>
      <vt:variant>
        <vt:i4>1114169</vt:i4>
      </vt:variant>
      <vt:variant>
        <vt:i4>74</vt:i4>
      </vt:variant>
      <vt:variant>
        <vt:i4>0</vt:i4>
      </vt:variant>
      <vt:variant>
        <vt:i4>5</vt:i4>
      </vt:variant>
      <vt:variant>
        <vt:lpwstr/>
      </vt:variant>
      <vt:variant>
        <vt:lpwstr>_Toc318637169</vt:lpwstr>
      </vt:variant>
      <vt:variant>
        <vt:i4>1114169</vt:i4>
      </vt:variant>
      <vt:variant>
        <vt:i4>68</vt:i4>
      </vt:variant>
      <vt:variant>
        <vt:i4>0</vt:i4>
      </vt:variant>
      <vt:variant>
        <vt:i4>5</vt:i4>
      </vt:variant>
      <vt:variant>
        <vt:lpwstr/>
      </vt:variant>
      <vt:variant>
        <vt:lpwstr>_Toc318637168</vt:lpwstr>
      </vt:variant>
      <vt:variant>
        <vt:i4>1114169</vt:i4>
      </vt:variant>
      <vt:variant>
        <vt:i4>62</vt:i4>
      </vt:variant>
      <vt:variant>
        <vt:i4>0</vt:i4>
      </vt:variant>
      <vt:variant>
        <vt:i4>5</vt:i4>
      </vt:variant>
      <vt:variant>
        <vt:lpwstr/>
      </vt:variant>
      <vt:variant>
        <vt:lpwstr>_Toc318637167</vt:lpwstr>
      </vt:variant>
      <vt:variant>
        <vt:i4>1114169</vt:i4>
      </vt:variant>
      <vt:variant>
        <vt:i4>56</vt:i4>
      </vt:variant>
      <vt:variant>
        <vt:i4>0</vt:i4>
      </vt:variant>
      <vt:variant>
        <vt:i4>5</vt:i4>
      </vt:variant>
      <vt:variant>
        <vt:lpwstr/>
      </vt:variant>
      <vt:variant>
        <vt:lpwstr>_Toc318637166</vt:lpwstr>
      </vt:variant>
      <vt:variant>
        <vt:i4>1114169</vt:i4>
      </vt:variant>
      <vt:variant>
        <vt:i4>50</vt:i4>
      </vt:variant>
      <vt:variant>
        <vt:i4>0</vt:i4>
      </vt:variant>
      <vt:variant>
        <vt:i4>5</vt:i4>
      </vt:variant>
      <vt:variant>
        <vt:lpwstr/>
      </vt:variant>
      <vt:variant>
        <vt:lpwstr>_Toc318637165</vt:lpwstr>
      </vt:variant>
      <vt:variant>
        <vt:i4>1114169</vt:i4>
      </vt:variant>
      <vt:variant>
        <vt:i4>44</vt:i4>
      </vt:variant>
      <vt:variant>
        <vt:i4>0</vt:i4>
      </vt:variant>
      <vt:variant>
        <vt:i4>5</vt:i4>
      </vt:variant>
      <vt:variant>
        <vt:lpwstr/>
      </vt:variant>
      <vt:variant>
        <vt:lpwstr>_Toc318637164</vt:lpwstr>
      </vt:variant>
      <vt:variant>
        <vt:i4>1114169</vt:i4>
      </vt:variant>
      <vt:variant>
        <vt:i4>38</vt:i4>
      </vt:variant>
      <vt:variant>
        <vt:i4>0</vt:i4>
      </vt:variant>
      <vt:variant>
        <vt:i4>5</vt:i4>
      </vt:variant>
      <vt:variant>
        <vt:lpwstr/>
      </vt:variant>
      <vt:variant>
        <vt:lpwstr>_Toc318637163</vt:lpwstr>
      </vt:variant>
      <vt:variant>
        <vt:i4>1114169</vt:i4>
      </vt:variant>
      <vt:variant>
        <vt:i4>32</vt:i4>
      </vt:variant>
      <vt:variant>
        <vt:i4>0</vt:i4>
      </vt:variant>
      <vt:variant>
        <vt:i4>5</vt:i4>
      </vt:variant>
      <vt:variant>
        <vt:lpwstr/>
      </vt:variant>
      <vt:variant>
        <vt:lpwstr>_Toc318637162</vt:lpwstr>
      </vt:variant>
      <vt:variant>
        <vt:i4>1114169</vt:i4>
      </vt:variant>
      <vt:variant>
        <vt:i4>26</vt:i4>
      </vt:variant>
      <vt:variant>
        <vt:i4>0</vt:i4>
      </vt:variant>
      <vt:variant>
        <vt:i4>5</vt:i4>
      </vt:variant>
      <vt:variant>
        <vt:lpwstr/>
      </vt:variant>
      <vt:variant>
        <vt:lpwstr>_Toc318637161</vt:lpwstr>
      </vt:variant>
      <vt:variant>
        <vt:i4>1114169</vt:i4>
      </vt:variant>
      <vt:variant>
        <vt:i4>20</vt:i4>
      </vt:variant>
      <vt:variant>
        <vt:i4>0</vt:i4>
      </vt:variant>
      <vt:variant>
        <vt:i4>5</vt:i4>
      </vt:variant>
      <vt:variant>
        <vt:lpwstr/>
      </vt:variant>
      <vt:variant>
        <vt:lpwstr>_Toc318637160</vt:lpwstr>
      </vt:variant>
      <vt:variant>
        <vt:i4>1179705</vt:i4>
      </vt:variant>
      <vt:variant>
        <vt:i4>14</vt:i4>
      </vt:variant>
      <vt:variant>
        <vt:i4>0</vt:i4>
      </vt:variant>
      <vt:variant>
        <vt:i4>5</vt:i4>
      </vt:variant>
      <vt:variant>
        <vt:lpwstr/>
      </vt:variant>
      <vt:variant>
        <vt:lpwstr>_Toc318637159</vt:lpwstr>
      </vt:variant>
      <vt:variant>
        <vt:i4>1179705</vt:i4>
      </vt:variant>
      <vt:variant>
        <vt:i4>8</vt:i4>
      </vt:variant>
      <vt:variant>
        <vt:i4>0</vt:i4>
      </vt:variant>
      <vt:variant>
        <vt:i4>5</vt:i4>
      </vt:variant>
      <vt:variant>
        <vt:lpwstr/>
      </vt:variant>
      <vt:variant>
        <vt:lpwstr>_Toc318637158</vt:lpwstr>
      </vt:variant>
      <vt:variant>
        <vt:i4>1179705</vt:i4>
      </vt:variant>
      <vt:variant>
        <vt:i4>2</vt:i4>
      </vt:variant>
      <vt:variant>
        <vt:i4>0</vt:i4>
      </vt:variant>
      <vt:variant>
        <vt:i4>5</vt:i4>
      </vt:variant>
      <vt:variant>
        <vt:lpwstr/>
      </vt:variant>
      <vt:variant>
        <vt:lpwstr>_Toc318637157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Tier Transmission Group</dc:title>
  <dc:creator>Steven Wallace</dc:creator>
  <cp:lastModifiedBy>John Leland</cp:lastModifiedBy>
  <cp:revision>3</cp:revision>
  <cp:lastPrinted>2012-03-22T17:32:00Z</cp:lastPrinted>
  <dcterms:created xsi:type="dcterms:W3CDTF">2012-03-22T17:30:00Z</dcterms:created>
  <dcterms:modified xsi:type="dcterms:W3CDTF">2012-03-22T17:35:00Z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