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58" w:rsidRPr="00B612FB" w:rsidRDefault="00F127AE" w:rsidP="00494C58">
      <w:pPr>
        <w:pStyle w:val="Header"/>
        <w:ind w:left="2160" w:hanging="2160"/>
        <w:jc w:val="both"/>
        <w:rPr>
          <w:b/>
          <w:color w:val="0000FF"/>
          <w:sz w:val="28"/>
          <w:szCs w:val="28"/>
        </w:rPr>
      </w:pPr>
      <w:r>
        <w:rPr>
          <w:b/>
          <w:noProof/>
          <w:color w:val="0000FF"/>
          <w:sz w:val="28"/>
          <w:szCs w:val="28"/>
        </w:rPr>
        <w:drawing>
          <wp:inline distT="0" distB="0" distL="0" distR="0" wp14:anchorId="759C20FB" wp14:editId="01AA250A">
            <wp:extent cx="447675" cy="447675"/>
            <wp:effectExtent l="0" t="0" r="9525" b="9525"/>
            <wp:docPr id="1" name="Picture 1" descr="logo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n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494C58">
        <w:rPr>
          <w:b/>
          <w:color w:val="0000FF"/>
          <w:sz w:val="28"/>
          <w:szCs w:val="28"/>
        </w:rPr>
        <w:t xml:space="preserve">   </w:t>
      </w:r>
      <w:r w:rsidR="00494C58" w:rsidRPr="009F717F">
        <w:rPr>
          <w:rFonts w:ascii="Arial" w:hAnsi="Arial" w:cs="Arial"/>
          <w:b/>
        </w:rPr>
        <w:t>Portland Gener</w:t>
      </w:r>
      <w:r w:rsidR="007D7BEF">
        <w:rPr>
          <w:rFonts w:ascii="Arial" w:hAnsi="Arial" w:cs="Arial"/>
          <w:b/>
        </w:rPr>
        <w:t xml:space="preserve">al Electric                            </w:t>
      </w:r>
      <w:r w:rsidR="00494C58">
        <w:rPr>
          <w:rFonts w:ascii="Arial" w:hAnsi="Arial" w:cs="Arial"/>
          <w:b/>
        </w:rPr>
        <w:t>Transmission &amp; Reliability Services</w:t>
      </w:r>
    </w:p>
    <w:p w:rsidR="00494C58" w:rsidRDefault="00494C58" w:rsidP="00494C58">
      <w:pPr>
        <w:pBdr>
          <w:bottom w:val="single" w:sz="4" w:space="1" w:color="auto"/>
        </w:pBdr>
        <w:ind w:left="2160" w:hanging="2160"/>
        <w:jc w:val="both"/>
      </w:pPr>
    </w:p>
    <w:p w:rsidR="00494C58" w:rsidRPr="00927B89" w:rsidRDefault="00494C58" w:rsidP="00494C58">
      <w:pPr>
        <w:pStyle w:val="Header"/>
        <w:ind w:left="2160" w:hanging="2160"/>
        <w:jc w:val="both"/>
        <w:rPr>
          <w:rFonts w:ascii="Arial" w:hAnsi="Arial" w:cs="Arial"/>
          <w:b/>
          <w:sz w:val="12"/>
          <w:szCs w:val="12"/>
        </w:rPr>
      </w:pPr>
    </w:p>
    <w:p w:rsidR="00494C58" w:rsidRPr="0084592D" w:rsidRDefault="00494C58" w:rsidP="00494C58">
      <w:pPr>
        <w:pStyle w:val="Header"/>
        <w:ind w:left="2160" w:hanging="2160"/>
        <w:jc w:val="both"/>
        <w:rPr>
          <w:rFonts w:ascii="Arial" w:hAnsi="Arial" w:cs="Arial"/>
          <w:b/>
          <w:sz w:val="26"/>
          <w:szCs w:val="26"/>
        </w:rPr>
      </w:pPr>
      <w:r w:rsidRPr="0084592D">
        <w:rPr>
          <w:rFonts w:ascii="Arial" w:hAnsi="Arial" w:cs="Arial"/>
          <w:b/>
          <w:sz w:val="26"/>
          <w:szCs w:val="26"/>
        </w:rPr>
        <w:t xml:space="preserve">Business Practice: </w:t>
      </w:r>
      <w:r w:rsidRPr="0084592D">
        <w:rPr>
          <w:rFonts w:ascii="Arial" w:hAnsi="Arial" w:cs="Arial"/>
          <w:b/>
          <w:sz w:val="26"/>
          <w:szCs w:val="26"/>
        </w:rPr>
        <w:tab/>
      </w:r>
      <w:r w:rsidR="00C80FDF">
        <w:rPr>
          <w:rFonts w:ascii="Arial" w:hAnsi="Arial" w:cs="Arial"/>
          <w:b/>
          <w:sz w:val="26"/>
          <w:szCs w:val="26"/>
        </w:rPr>
        <w:t xml:space="preserve">         </w:t>
      </w:r>
      <w:r w:rsidR="005B0713">
        <w:rPr>
          <w:rFonts w:ascii="Arial" w:hAnsi="Arial" w:cs="Arial"/>
          <w:b/>
          <w:sz w:val="26"/>
          <w:szCs w:val="26"/>
        </w:rPr>
        <w:t>Dynamic Transfer Capability</w:t>
      </w:r>
      <w:r w:rsidR="002B6A29">
        <w:rPr>
          <w:rFonts w:ascii="Arial" w:hAnsi="Arial" w:cs="Arial"/>
          <w:b/>
          <w:sz w:val="26"/>
          <w:szCs w:val="26"/>
        </w:rPr>
        <w:t xml:space="preserve"> on the COI</w:t>
      </w:r>
    </w:p>
    <w:p w:rsidR="00494C58" w:rsidRPr="00C80FDF" w:rsidRDefault="00494C58" w:rsidP="00494C58">
      <w:pPr>
        <w:pStyle w:val="Header"/>
        <w:tabs>
          <w:tab w:val="clear" w:pos="4320"/>
          <w:tab w:val="clear" w:pos="8640"/>
          <w:tab w:val="left" w:pos="7170"/>
        </w:tabs>
        <w:ind w:left="2160" w:hanging="2160"/>
        <w:jc w:val="right"/>
        <w:rPr>
          <w:rFonts w:ascii="Arial" w:hAnsi="Arial" w:cs="Arial"/>
          <w:b/>
        </w:rPr>
      </w:pPr>
    </w:p>
    <w:p w:rsidR="00494C58" w:rsidRPr="00C80FDF" w:rsidRDefault="00494C58" w:rsidP="00494C58">
      <w:pPr>
        <w:ind w:left="1620" w:hanging="1620"/>
        <w:jc w:val="both"/>
        <w:rPr>
          <w:rFonts w:ascii="Arial" w:hAnsi="Arial" w:cs="Arial"/>
          <w:b/>
          <w:i/>
        </w:rPr>
      </w:pPr>
      <w:r w:rsidRPr="00C80FDF">
        <w:rPr>
          <w:rFonts w:ascii="Arial" w:hAnsi="Arial" w:cs="Arial"/>
          <w:b/>
          <w:i/>
        </w:rPr>
        <w:t>Posted:</w:t>
      </w:r>
      <w:r w:rsidRPr="00C80FDF">
        <w:rPr>
          <w:rFonts w:ascii="Arial" w:hAnsi="Arial" w:cs="Arial"/>
          <w:b/>
          <w:i/>
        </w:rPr>
        <w:tab/>
      </w:r>
      <w:r w:rsidR="005824CC">
        <w:rPr>
          <w:rFonts w:ascii="Arial" w:hAnsi="Arial" w:cs="Arial"/>
        </w:rPr>
        <w:t xml:space="preserve">October 1, 2015 </w:t>
      </w:r>
    </w:p>
    <w:p w:rsidR="00494C58" w:rsidRPr="00C80FDF" w:rsidRDefault="00494C58" w:rsidP="00494C58">
      <w:pPr>
        <w:ind w:left="1620" w:hanging="1620"/>
        <w:jc w:val="both"/>
        <w:rPr>
          <w:rFonts w:ascii="Arial" w:hAnsi="Arial" w:cs="Arial"/>
          <w:b/>
          <w:i/>
        </w:rPr>
      </w:pPr>
      <w:r w:rsidRPr="00C80FDF">
        <w:rPr>
          <w:rFonts w:ascii="Arial" w:hAnsi="Arial" w:cs="Arial"/>
          <w:b/>
          <w:i/>
        </w:rPr>
        <w:t xml:space="preserve">Effective: </w:t>
      </w:r>
      <w:r w:rsidRPr="00C80FDF">
        <w:rPr>
          <w:rFonts w:ascii="Arial" w:hAnsi="Arial" w:cs="Arial"/>
          <w:b/>
          <w:i/>
        </w:rPr>
        <w:tab/>
      </w:r>
      <w:r w:rsidR="005824CC">
        <w:rPr>
          <w:rFonts w:ascii="Arial" w:hAnsi="Arial" w:cs="Arial"/>
        </w:rPr>
        <w:t>October 1, 2015</w:t>
      </w:r>
    </w:p>
    <w:p w:rsidR="00494C58" w:rsidRPr="00820788" w:rsidRDefault="00494C58" w:rsidP="00494C58">
      <w:pPr>
        <w:ind w:left="1620" w:hanging="1620"/>
        <w:jc w:val="both"/>
        <w:rPr>
          <w:rFonts w:ascii="Arial" w:hAnsi="Arial" w:cs="Arial"/>
          <w:b/>
          <w:color w:val="E36C0A"/>
        </w:rPr>
      </w:pPr>
      <w:r w:rsidRPr="00C80FDF">
        <w:rPr>
          <w:rFonts w:ascii="Arial" w:hAnsi="Arial" w:cs="Arial"/>
          <w:b/>
          <w:i/>
        </w:rPr>
        <w:t>Revision No.:</w:t>
      </w:r>
      <w:r w:rsidRPr="00C80FDF">
        <w:rPr>
          <w:rFonts w:ascii="Arial" w:hAnsi="Arial" w:cs="Arial"/>
        </w:rPr>
        <w:tab/>
      </w:r>
      <w:r w:rsidR="005824CC">
        <w:rPr>
          <w:rFonts w:ascii="Arial" w:hAnsi="Arial" w:cs="Arial"/>
        </w:rPr>
        <w:t>1</w:t>
      </w:r>
    </w:p>
    <w:p w:rsidR="00494C58" w:rsidRPr="00927B89" w:rsidRDefault="00494C58" w:rsidP="00494C58">
      <w:pPr>
        <w:pBdr>
          <w:bottom w:val="single" w:sz="4" w:space="1" w:color="auto"/>
        </w:pBdr>
        <w:ind w:left="2160" w:hanging="2160"/>
        <w:jc w:val="both"/>
        <w:rPr>
          <w:sz w:val="12"/>
          <w:szCs w:val="12"/>
        </w:rPr>
      </w:pPr>
    </w:p>
    <w:p w:rsidR="00494C58" w:rsidRPr="00C80FDF" w:rsidRDefault="00494C58" w:rsidP="0011219A">
      <w:pPr>
        <w:outlineLvl w:val="0"/>
        <w:rPr>
          <w:rFonts w:ascii="Arial" w:hAnsi="Arial"/>
        </w:rPr>
      </w:pPr>
    </w:p>
    <w:p w:rsidR="00CD4B85" w:rsidRPr="00232417" w:rsidRDefault="00CD4B85" w:rsidP="0011219A">
      <w:pPr>
        <w:outlineLvl w:val="0"/>
        <w:rPr>
          <w:rFonts w:ascii="Arial" w:hAnsi="Arial"/>
        </w:rPr>
      </w:pPr>
    </w:p>
    <w:p w:rsidR="006A6F5D" w:rsidRDefault="006A6F5D" w:rsidP="006A6F5D">
      <w:pPr>
        <w:numPr>
          <w:ilvl w:val="0"/>
          <w:numId w:val="22"/>
        </w:numPr>
        <w:jc w:val="both"/>
        <w:outlineLvl w:val="2"/>
        <w:rPr>
          <w:rFonts w:ascii="Arial" w:hAnsi="Arial" w:cs="Arial"/>
          <w:b/>
          <w:bCs/>
        </w:rPr>
      </w:pPr>
      <w:r w:rsidRPr="00841C60">
        <w:rPr>
          <w:rFonts w:ascii="Arial" w:hAnsi="Arial" w:cs="Arial"/>
          <w:b/>
          <w:bCs/>
        </w:rPr>
        <w:t>Purpose</w:t>
      </w:r>
    </w:p>
    <w:p w:rsidR="006A6F5D" w:rsidRDefault="006A6F5D" w:rsidP="006A6F5D">
      <w:pPr>
        <w:ind w:left="360"/>
        <w:jc w:val="both"/>
        <w:outlineLvl w:val="2"/>
        <w:rPr>
          <w:rFonts w:ascii="Arial" w:hAnsi="Arial"/>
        </w:rPr>
      </w:pPr>
      <w:bookmarkStart w:id="0" w:name="_GoBack"/>
      <w:bookmarkEnd w:id="0"/>
    </w:p>
    <w:p w:rsidR="00332FE3" w:rsidRPr="00D47B3C" w:rsidRDefault="00332FE3" w:rsidP="00332FE3">
      <w:pPr>
        <w:ind w:left="360"/>
        <w:jc w:val="both"/>
        <w:outlineLvl w:val="2"/>
        <w:rPr>
          <w:rFonts w:ascii="Arial" w:hAnsi="Arial" w:cs="Arial"/>
        </w:rPr>
      </w:pPr>
      <w:r w:rsidRPr="006A6F5D">
        <w:rPr>
          <w:rFonts w:ascii="Arial" w:hAnsi="Arial"/>
        </w:rPr>
        <w:t xml:space="preserve">PGE offers Dynamic Transfer Capability (DTC) on its ownership share of the </w:t>
      </w:r>
      <w:proofErr w:type="spellStart"/>
      <w:r w:rsidRPr="006A6F5D">
        <w:rPr>
          <w:rFonts w:ascii="Arial" w:hAnsi="Arial"/>
        </w:rPr>
        <w:t>JohnDay</w:t>
      </w:r>
      <w:proofErr w:type="spellEnd"/>
      <w:r w:rsidRPr="006A6F5D">
        <w:rPr>
          <w:rFonts w:ascii="Arial" w:hAnsi="Arial"/>
        </w:rPr>
        <w:t xml:space="preserve"> to COB </w:t>
      </w:r>
      <w:r>
        <w:rPr>
          <w:rFonts w:ascii="Arial" w:hAnsi="Arial"/>
        </w:rPr>
        <w:t xml:space="preserve">and PGE to COB </w:t>
      </w:r>
      <w:r w:rsidRPr="006A6F5D">
        <w:rPr>
          <w:rFonts w:ascii="Arial" w:hAnsi="Arial"/>
        </w:rPr>
        <w:t>transmission path</w:t>
      </w:r>
      <w:r>
        <w:rPr>
          <w:rFonts w:ascii="Arial" w:hAnsi="Arial"/>
        </w:rPr>
        <w:t>s</w:t>
      </w:r>
      <w:r w:rsidRPr="006A6F5D">
        <w:rPr>
          <w:rFonts w:ascii="Arial" w:hAnsi="Arial"/>
        </w:rPr>
        <w:t xml:space="preserve"> in cooperation with PACW and BPA, </w:t>
      </w:r>
      <w:r>
        <w:rPr>
          <w:rFonts w:ascii="Arial" w:hAnsi="Arial"/>
        </w:rPr>
        <w:t>who are also</w:t>
      </w:r>
      <w:r w:rsidRPr="006A6F5D">
        <w:rPr>
          <w:rFonts w:ascii="Arial" w:hAnsi="Arial"/>
        </w:rPr>
        <w:t xml:space="preserve"> owners of the northern portion of the California Oregon Intertie (COI).  PGE customers </w:t>
      </w:r>
      <w:r>
        <w:rPr>
          <w:rFonts w:ascii="Arial" w:hAnsi="Arial"/>
        </w:rPr>
        <w:t xml:space="preserve">who </w:t>
      </w:r>
      <w:r w:rsidRPr="006A6F5D">
        <w:rPr>
          <w:rFonts w:ascii="Arial" w:hAnsi="Arial"/>
        </w:rPr>
        <w:t>hav</w:t>
      </w:r>
      <w:r>
        <w:rPr>
          <w:rFonts w:ascii="Arial" w:hAnsi="Arial"/>
        </w:rPr>
        <w:t>e</w:t>
      </w:r>
      <w:r w:rsidRPr="006A6F5D">
        <w:rPr>
          <w:rFonts w:ascii="Arial" w:hAnsi="Arial"/>
        </w:rPr>
        <w:t xml:space="preserve"> Firm Point-to-Point Transmission Service on the COI on the north to south paths and who have met all requirements</w:t>
      </w:r>
      <w:r>
        <w:rPr>
          <w:rFonts w:ascii="Arial" w:hAnsi="Arial"/>
        </w:rPr>
        <w:t xml:space="preserve"> set forth in this business practice</w:t>
      </w:r>
      <w:r w:rsidRPr="006A6F5D">
        <w:rPr>
          <w:rFonts w:ascii="Arial" w:hAnsi="Arial"/>
        </w:rPr>
        <w:t xml:space="preserve"> </w:t>
      </w:r>
      <w:r>
        <w:rPr>
          <w:rFonts w:ascii="Arial" w:hAnsi="Arial"/>
        </w:rPr>
        <w:t>may use</w:t>
      </w:r>
      <w:r w:rsidRPr="006A6F5D">
        <w:rPr>
          <w:rFonts w:ascii="Arial" w:hAnsi="Arial"/>
        </w:rPr>
        <w:t xml:space="preserve"> DTC on PGE’s ownership share</w:t>
      </w:r>
      <w:r>
        <w:rPr>
          <w:rFonts w:ascii="Arial" w:hAnsi="Arial"/>
        </w:rPr>
        <w:t xml:space="preserve"> of the COI</w:t>
      </w:r>
      <w:r w:rsidRPr="006A6F5D">
        <w:rPr>
          <w:rFonts w:ascii="Arial" w:hAnsi="Arial"/>
        </w:rPr>
        <w:t xml:space="preserve">.  This capability is awarded </w:t>
      </w:r>
      <w:r>
        <w:rPr>
          <w:rFonts w:ascii="Arial" w:hAnsi="Arial"/>
        </w:rPr>
        <w:t>pursuant to the</w:t>
      </w:r>
      <w:r w:rsidRPr="006A6F5D">
        <w:rPr>
          <w:rFonts w:ascii="Arial" w:hAnsi="Arial"/>
        </w:rPr>
        <w:t xml:space="preserve"> allocation process</w:t>
      </w:r>
      <w:r>
        <w:rPr>
          <w:rFonts w:ascii="Arial" w:hAnsi="Arial"/>
        </w:rPr>
        <w:t xml:space="preserve"> described in Appendix A of this business practice</w:t>
      </w:r>
      <w:r w:rsidRPr="006A6F5D">
        <w:rPr>
          <w:rFonts w:ascii="Arial" w:hAnsi="Arial"/>
        </w:rPr>
        <w:t xml:space="preserve">.  A PGE customer obtaining DTC as a utilization of their Firm PTP Transmission Service, known as a Dynamic </w:t>
      </w:r>
      <w:r w:rsidRPr="00D47B3C">
        <w:rPr>
          <w:rFonts w:ascii="Arial" w:hAnsi="Arial" w:cs="Arial"/>
        </w:rPr>
        <w:t>Transfer Entity, must comply with this business practice.</w:t>
      </w:r>
    </w:p>
    <w:p w:rsidR="006A6F5D" w:rsidRDefault="006A6F5D" w:rsidP="006A6F5D">
      <w:pPr>
        <w:jc w:val="both"/>
        <w:outlineLvl w:val="2"/>
        <w:rPr>
          <w:rFonts w:ascii="Arial" w:hAnsi="Arial" w:cs="Arial"/>
          <w:b/>
          <w:bCs/>
        </w:rPr>
      </w:pPr>
    </w:p>
    <w:p w:rsidR="000813CB" w:rsidRDefault="000813CB" w:rsidP="006A6F5D">
      <w:pPr>
        <w:jc w:val="both"/>
        <w:outlineLvl w:val="2"/>
        <w:rPr>
          <w:rFonts w:ascii="Arial" w:hAnsi="Arial" w:cs="Arial"/>
          <w:b/>
          <w:bCs/>
        </w:rPr>
      </w:pPr>
    </w:p>
    <w:p w:rsidR="006A6F5D" w:rsidRDefault="006A6F5D" w:rsidP="006A6F5D">
      <w:pPr>
        <w:numPr>
          <w:ilvl w:val="0"/>
          <w:numId w:val="22"/>
        </w:numPr>
        <w:jc w:val="both"/>
        <w:outlineLvl w:val="2"/>
        <w:rPr>
          <w:rFonts w:ascii="Arial" w:hAnsi="Arial" w:cs="Arial"/>
          <w:b/>
          <w:bCs/>
        </w:rPr>
      </w:pPr>
      <w:r>
        <w:rPr>
          <w:rFonts w:ascii="Arial" w:hAnsi="Arial" w:cs="Arial"/>
          <w:b/>
          <w:bCs/>
        </w:rPr>
        <w:t>Definitions</w:t>
      </w:r>
    </w:p>
    <w:p w:rsidR="006A6F5D" w:rsidRDefault="006A6F5D" w:rsidP="006A6F5D">
      <w:pPr>
        <w:jc w:val="both"/>
        <w:outlineLvl w:val="2"/>
        <w:rPr>
          <w:rFonts w:ascii="Arial" w:hAnsi="Arial" w:cs="Arial"/>
          <w:b/>
          <w:bCs/>
        </w:rPr>
      </w:pPr>
    </w:p>
    <w:p w:rsidR="00FC1F46" w:rsidRPr="00D47B3C" w:rsidRDefault="00FC1F46" w:rsidP="00FC1F46">
      <w:pPr>
        <w:numPr>
          <w:ilvl w:val="1"/>
          <w:numId w:val="22"/>
        </w:numPr>
        <w:jc w:val="both"/>
        <w:outlineLvl w:val="2"/>
        <w:rPr>
          <w:rFonts w:ascii="Arial" w:hAnsi="Arial" w:cs="Arial"/>
          <w:bCs/>
        </w:rPr>
      </w:pPr>
      <w:r w:rsidRPr="00D47B3C">
        <w:rPr>
          <w:rFonts w:ascii="Arial" w:hAnsi="Arial" w:cs="Arial"/>
        </w:rPr>
        <w:t>Dynamic Transfer – The provision of the real-time monitoring, telemetering,</w:t>
      </w:r>
      <w:r w:rsidRPr="00D47B3C">
        <w:rPr>
          <w:rFonts w:ascii="Arial" w:hAnsi="Arial" w:cs="Arial"/>
          <w:bCs/>
        </w:rPr>
        <w:t xml:space="preserve"> </w:t>
      </w:r>
      <w:r w:rsidRPr="00D47B3C">
        <w:rPr>
          <w:rFonts w:ascii="Arial" w:hAnsi="Arial" w:cs="Arial"/>
        </w:rPr>
        <w:t>computer software, hardware, communications,</w:t>
      </w:r>
      <w:r w:rsidRPr="00D47B3C">
        <w:rPr>
          <w:rFonts w:ascii="Arial" w:hAnsi="Arial" w:cs="Arial"/>
          <w:bCs/>
        </w:rPr>
        <w:t xml:space="preserve"> </w:t>
      </w:r>
      <w:r w:rsidRPr="00D47B3C">
        <w:rPr>
          <w:rFonts w:ascii="Arial" w:hAnsi="Arial" w:cs="Arial"/>
        </w:rPr>
        <w:t>engineering, energy accounting (including inadvertent</w:t>
      </w:r>
      <w:r w:rsidRPr="00D47B3C">
        <w:rPr>
          <w:rFonts w:ascii="Arial" w:hAnsi="Arial" w:cs="Arial"/>
          <w:bCs/>
        </w:rPr>
        <w:t xml:space="preserve"> </w:t>
      </w:r>
      <w:r w:rsidRPr="00D47B3C">
        <w:rPr>
          <w:rFonts w:ascii="Arial" w:hAnsi="Arial" w:cs="Arial"/>
        </w:rPr>
        <w:t>interchange), and administration required to electronically</w:t>
      </w:r>
      <w:r w:rsidRPr="00D47B3C">
        <w:rPr>
          <w:rFonts w:ascii="Arial" w:hAnsi="Arial" w:cs="Arial"/>
          <w:bCs/>
        </w:rPr>
        <w:t xml:space="preserve"> </w:t>
      </w:r>
      <w:r w:rsidRPr="00D47B3C">
        <w:rPr>
          <w:rFonts w:ascii="Arial" w:hAnsi="Arial" w:cs="Arial"/>
        </w:rPr>
        <w:t>move all or a portion of the real energy services associated</w:t>
      </w:r>
      <w:r w:rsidRPr="00D47B3C">
        <w:rPr>
          <w:rFonts w:ascii="Arial" w:hAnsi="Arial" w:cs="Arial"/>
          <w:bCs/>
        </w:rPr>
        <w:t xml:space="preserve"> </w:t>
      </w:r>
      <w:r w:rsidRPr="00D47B3C">
        <w:rPr>
          <w:rFonts w:ascii="Arial" w:hAnsi="Arial" w:cs="Arial"/>
        </w:rPr>
        <w:t>with a generator or load out of one Balancing Authority Area</w:t>
      </w:r>
      <w:r w:rsidRPr="00D47B3C">
        <w:rPr>
          <w:rFonts w:ascii="Arial" w:hAnsi="Arial" w:cs="Arial"/>
          <w:bCs/>
        </w:rPr>
        <w:t xml:space="preserve"> </w:t>
      </w:r>
      <w:r w:rsidRPr="00D47B3C">
        <w:rPr>
          <w:rFonts w:ascii="Arial" w:hAnsi="Arial" w:cs="Arial"/>
        </w:rPr>
        <w:t>into another (NERC definition).</w:t>
      </w:r>
    </w:p>
    <w:p w:rsidR="00FC1F46" w:rsidRPr="00D47B3C" w:rsidRDefault="00FC1F46" w:rsidP="00FC1F46">
      <w:pPr>
        <w:ind w:left="360"/>
        <w:jc w:val="both"/>
        <w:outlineLvl w:val="2"/>
        <w:rPr>
          <w:rFonts w:ascii="Arial" w:hAnsi="Arial" w:cs="Arial"/>
          <w:bCs/>
        </w:rPr>
      </w:pPr>
    </w:p>
    <w:p w:rsidR="00FC1F46" w:rsidRPr="006977B7" w:rsidRDefault="00FC1F46" w:rsidP="00FC1F46">
      <w:pPr>
        <w:numPr>
          <w:ilvl w:val="1"/>
          <w:numId w:val="22"/>
        </w:numPr>
        <w:jc w:val="both"/>
        <w:outlineLvl w:val="2"/>
        <w:rPr>
          <w:rFonts w:ascii="Arial" w:hAnsi="Arial" w:cs="Arial"/>
          <w:bCs/>
        </w:rPr>
      </w:pPr>
      <w:r w:rsidRPr="00D47B3C">
        <w:rPr>
          <w:rFonts w:ascii="Arial" w:hAnsi="Arial" w:cs="Arial"/>
        </w:rPr>
        <w:t xml:space="preserve">Dynamic Transfer Capability – The Capability of the transmission system to </w:t>
      </w:r>
      <w:r>
        <w:rPr>
          <w:rFonts w:ascii="Arial" w:hAnsi="Arial" w:cs="Arial"/>
        </w:rPr>
        <w:t>accommodate continuous ramping o</w:t>
      </w:r>
      <w:r w:rsidRPr="00D47B3C">
        <w:rPr>
          <w:rFonts w:ascii="Arial" w:hAnsi="Arial" w:cs="Arial"/>
        </w:rPr>
        <w:t xml:space="preserve">f a resource(s) over a pre-determined range, such that the control of the electrical output of such resource(s) can be varied from moment to moment by </w:t>
      </w:r>
      <w:r>
        <w:rPr>
          <w:rFonts w:ascii="Arial" w:hAnsi="Arial" w:cs="Arial"/>
        </w:rPr>
        <w:t>an</w:t>
      </w:r>
      <w:r w:rsidRPr="00D47B3C">
        <w:rPr>
          <w:rFonts w:ascii="Arial" w:hAnsi="Arial" w:cs="Arial"/>
        </w:rPr>
        <w:t xml:space="preserve"> entity other than the host utility/host Balanc</w:t>
      </w:r>
      <w:r>
        <w:rPr>
          <w:rFonts w:ascii="Arial" w:hAnsi="Arial" w:cs="Arial"/>
        </w:rPr>
        <w:t>ing Authority Area operator (Path Operator definition)</w:t>
      </w:r>
    </w:p>
    <w:p w:rsidR="00FC1F46" w:rsidRPr="006977B7" w:rsidRDefault="00FC1F46" w:rsidP="00FC1F46">
      <w:pPr>
        <w:jc w:val="both"/>
        <w:outlineLvl w:val="2"/>
        <w:rPr>
          <w:rFonts w:ascii="Arial" w:hAnsi="Arial" w:cs="Arial"/>
          <w:bCs/>
        </w:rPr>
      </w:pPr>
      <w:r w:rsidRPr="006977B7">
        <w:rPr>
          <w:rFonts w:ascii="Arial" w:hAnsi="Arial"/>
        </w:rPr>
        <w:t xml:space="preserve"> </w:t>
      </w:r>
    </w:p>
    <w:p w:rsidR="00FC1F46" w:rsidRPr="0041658D" w:rsidRDefault="00FC1F46" w:rsidP="00FC1F46">
      <w:pPr>
        <w:numPr>
          <w:ilvl w:val="1"/>
          <w:numId w:val="22"/>
        </w:numPr>
        <w:jc w:val="both"/>
        <w:outlineLvl w:val="2"/>
        <w:rPr>
          <w:rFonts w:ascii="Arial" w:hAnsi="Arial" w:cs="Arial"/>
          <w:b/>
          <w:bCs/>
        </w:rPr>
      </w:pPr>
      <w:r w:rsidRPr="006A6F5D">
        <w:rPr>
          <w:rFonts w:ascii="Arial" w:hAnsi="Arial"/>
        </w:rPr>
        <w:t xml:space="preserve">Dynamic </w:t>
      </w:r>
      <w:r w:rsidRPr="0041658D">
        <w:rPr>
          <w:rFonts w:ascii="Arial" w:hAnsi="Arial" w:cs="Arial"/>
        </w:rPr>
        <w:t>Transfer Entity –</w:t>
      </w:r>
      <w:r w:rsidRPr="0041658D">
        <w:rPr>
          <w:rFonts w:ascii="Arial" w:hAnsi="Arial" w:cs="Arial"/>
          <w:b/>
        </w:rPr>
        <w:t xml:space="preserve"> </w:t>
      </w:r>
      <w:r w:rsidRPr="0041658D">
        <w:rPr>
          <w:rFonts w:ascii="Arial" w:hAnsi="Arial" w:cs="Arial"/>
        </w:rPr>
        <w:t>A transmission customer who has completed registration and has requested or is in the process of requesting Dynamic Transfer Capability as a utilization of their existing Firm PTP Transmission Service.</w:t>
      </w:r>
    </w:p>
    <w:p w:rsidR="00FC1F46" w:rsidRPr="0041658D" w:rsidRDefault="00FC1F46" w:rsidP="00FC1F46">
      <w:pPr>
        <w:ind w:left="792"/>
        <w:jc w:val="both"/>
        <w:outlineLvl w:val="2"/>
        <w:rPr>
          <w:rFonts w:ascii="Arial" w:hAnsi="Arial" w:cs="Arial"/>
          <w:b/>
          <w:bCs/>
        </w:rPr>
      </w:pPr>
    </w:p>
    <w:p w:rsidR="00FC1F46" w:rsidRPr="0041658D" w:rsidRDefault="00FC1F46" w:rsidP="00FC1F46">
      <w:pPr>
        <w:numPr>
          <w:ilvl w:val="1"/>
          <w:numId w:val="22"/>
        </w:numPr>
        <w:jc w:val="both"/>
        <w:outlineLvl w:val="2"/>
        <w:rPr>
          <w:rFonts w:ascii="Arial" w:hAnsi="Arial" w:cs="Arial"/>
          <w:b/>
          <w:bCs/>
        </w:rPr>
      </w:pPr>
      <w:r w:rsidRPr="0041658D">
        <w:rPr>
          <w:rFonts w:ascii="Arial" w:hAnsi="Arial" w:cs="Arial"/>
        </w:rPr>
        <w:t>Transmission Operator - The entity responsible for the reliability of its “local”</w:t>
      </w:r>
      <w:r w:rsidRPr="0041658D">
        <w:rPr>
          <w:rFonts w:ascii="Arial" w:hAnsi="Arial" w:cs="Arial"/>
          <w:b/>
          <w:bCs/>
        </w:rPr>
        <w:t xml:space="preserve"> </w:t>
      </w:r>
      <w:r w:rsidRPr="0041658D">
        <w:rPr>
          <w:rFonts w:ascii="Arial" w:hAnsi="Arial" w:cs="Arial"/>
        </w:rPr>
        <w:t>transmission system, and that operates or directs the operations of the transmission facilities. (NERC definition)</w:t>
      </w:r>
    </w:p>
    <w:p w:rsidR="00FC1F46" w:rsidRPr="0041658D" w:rsidRDefault="00FC1F46" w:rsidP="00FC1F46">
      <w:pPr>
        <w:pStyle w:val="ListParagraph"/>
        <w:rPr>
          <w:rFonts w:ascii="Arial" w:hAnsi="Arial" w:cs="Arial"/>
        </w:rPr>
      </w:pPr>
    </w:p>
    <w:p w:rsidR="00FC1F46" w:rsidRPr="00E7663E" w:rsidRDefault="00FC1F46" w:rsidP="00FC1F46">
      <w:pPr>
        <w:numPr>
          <w:ilvl w:val="1"/>
          <w:numId w:val="22"/>
        </w:numPr>
        <w:jc w:val="both"/>
        <w:outlineLvl w:val="2"/>
        <w:rPr>
          <w:rFonts w:ascii="Arial" w:hAnsi="Arial" w:cs="Arial"/>
          <w:b/>
          <w:bCs/>
        </w:rPr>
      </w:pPr>
      <w:r w:rsidRPr="0041658D">
        <w:rPr>
          <w:rFonts w:ascii="Arial" w:hAnsi="Arial" w:cs="Arial"/>
        </w:rPr>
        <w:t>Path Operator – The</w:t>
      </w:r>
      <w:r w:rsidRPr="00E7663E">
        <w:rPr>
          <w:rFonts w:ascii="Arial" w:hAnsi="Arial"/>
        </w:rPr>
        <w:t xml:space="preserve"> Transmission Operator that operates or directs the operations of a transmission path.  Specific to this business practice, BPA is the Path Operator of the northern portion of the COI.</w:t>
      </w:r>
    </w:p>
    <w:p w:rsidR="008C4905" w:rsidRDefault="008C4905" w:rsidP="008C4905">
      <w:pPr>
        <w:ind w:left="360"/>
        <w:jc w:val="both"/>
        <w:outlineLvl w:val="2"/>
        <w:rPr>
          <w:rFonts w:ascii="Arial" w:hAnsi="Arial" w:cs="Arial"/>
          <w:b/>
          <w:bCs/>
        </w:rPr>
      </w:pPr>
    </w:p>
    <w:p w:rsidR="00E7663E" w:rsidRPr="008C4905" w:rsidRDefault="00E7663E" w:rsidP="008C4905">
      <w:pPr>
        <w:ind w:left="360"/>
        <w:jc w:val="both"/>
        <w:outlineLvl w:val="2"/>
        <w:rPr>
          <w:rFonts w:ascii="Arial" w:hAnsi="Arial" w:cs="Arial"/>
          <w:b/>
          <w:bCs/>
        </w:rPr>
      </w:pPr>
    </w:p>
    <w:p w:rsidR="006A6F5D" w:rsidRDefault="006A6F5D" w:rsidP="008C4905">
      <w:pPr>
        <w:numPr>
          <w:ilvl w:val="0"/>
          <w:numId w:val="22"/>
        </w:numPr>
        <w:jc w:val="both"/>
        <w:outlineLvl w:val="2"/>
        <w:rPr>
          <w:rFonts w:ascii="Arial" w:hAnsi="Arial" w:cs="Arial"/>
          <w:b/>
          <w:bCs/>
        </w:rPr>
      </w:pPr>
      <w:r>
        <w:rPr>
          <w:rFonts w:ascii="Arial" w:hAnsi="Arial" w:cs="Arial"/>
          <w:b/>
          <w:bCs/>
        </w:rPr>
        <w:t>Practice</w:t>
      </w:r>
    </w:p>
    <w:p w:rsidR="00655C78" w:rsidRDefault="00655C78" w:rsidP="00655C78">
      <w:pPr>
        <w:jc w:val="both"/>
        <w:outlineLvl w:val="2"/>
        <w:rPr>
          <w:rFonts w:ascii="Arial" w:hAnsi="Arial" w:cs="Arial"/>
          <w:b/>
          <w:bCs/>
        </w:rPr>
      </w:pPr>
    </w:p>
    <w:p w:rsidR="006A6F5D" w:rsidRPr="006A6F5D" w:rsidRDefault="006A6F5D" w:rsidP="008C4905">
      <w:pPr>
        <w:numPr>
          <w:ilvl w:val="1"/>
          <w:numId w:val="22"/>
        </w:numPr>
        <w:jc w:val="both"/>
        <w:outlineLvl w:val="2"/>
        <w:rPr>
          <w:rFonts w:ascii="Arial" w:hAnsi="Arial" w:cs="Arial"/>
          <w:b/>
          <w:bCs/>
        </w:rPr>
      </w:pPr>
      <w:r w:rsidRPr="006A6F5D">
        <w:rPr>
          <w:rFonts w:ascii="Arial" w:hAnsi="Arial"/>
          <w:b/>
          <w:u w:val="single"/>
        </w:rPr>
        <w:t>Eligibility Requirement</w:t>
      </w:r>
      <w:r>
        <w:rPr>
          <w:rFonts w:ascii="Arial" w:hAnsi="Arial"/>
          <w:b/>
          <w:u w:val="single"/>
        </w:rPr>
        <w:t>s</w:t>
      </w:r>
    </w:p>
    <w:p w:rsidR="006A6F5D" w:rsidRPr="006A6F5D" w:rsidRDefault="006A6F5D" w:rsidP="006A6F5D">
      <w:pPr>
        <w:ind w:left="360"/>
        <w:jc w:val="both"/>
        <w:outlineLvl w:val="2"/>
        <w:rPr>
          <w:rFonts w:ascii="Arial" w:hAnsi="Arial" w:cs="Arial"/>
          <w:b/>
          <w:bCs/>
        </w:rPr>
      </w:pPr>
    </w:p>
    <w:p w:rsidR="00FC1F46" w:rsidRPr="006A6F5D" w:rsidRDefault="00FC1F46" w:rsidP="00FC1F46">
      <w:pPr>
        <w:numPr>
          <w:ilvl w:val="2"/>
          <w:numId w:val="22"/>
        </w:numPr>
        <w:jc w:val="both"/>
        <w:outlineLvl w:val="2"/>
        <w:rPr>
          <w:rFonts w:ascii="Arial" w:hAnsi="Arial" w:cs="Arial"/>
          <w:b/>
          <w:bCs/>
        </w:rPr>
      </w:pPr>
      <w:r w:rsidRPr="006A6F5D">
        <w:rPr>
          <w:rFonts w:ascii="Arial" w:hAnsi="Arial"/>
        </w:rPr>
        <w:t xml:space="preserve">The Dynamic Transfer Entity must have </w:t>
      </w:r>
      <w:r>
        <w:rPr>
          <w:rFonts w:ascii="Arial" w:hAnsi="Arial"/>
        </w:rPr>
        <w:t>made arrangements with upstream Transmission Service Providers as needed.</w:t>
      </w:r>
    </w:p>
    <w:p w:rsidR="00FC1F46" w:rsidRPr="006A6F5D" w:rsidRDefault="00FC1F46" w:rsidP="00FC1F46">
      <w:pPr>
        <w:ind w:left="720"/>
        <w:jc w:val="both"/>
        <w:outlineLvl w:val="2"/>
        <w:rPr>
          <w:rFonts w:ascii="Arial" w:hAnsi="Arial" w:cs="Arial"/>
          <w:b/>
          <w:bCs/>
        </w:rPr>
      </w:pPr>
    </w:p>
    <w:p w:rsidR="00FC1F46" w:rsidRPr="006A6F5D" w:rsidRDefault="00FC1F46" w:rsidP="00FC1F46">
      <w:pPr>
        <w:numPr>
          <w:ilvl w:val="2"/>
          <w:numId w:val="22"/>
        </w:numPr>
        <w:jc w:val="both"/>
        <w:outlineLvl w:val="2"/>
        <w:rPr>
          <w:rFonts w:ascii="Arial" w:hAnsi="Arial" w:cs="Arial"/>
          <w:b/>
          <w:bCs/>
        </w:rPr>
      </w:pPr>
      <w:r w:rsidRPr="006A6F5D">
        <w:rPr>
          <w:rFonts w:ascii="Arial" w:hAnsi="Arial"/>
        </w:rPr>
        <w:t xml:space="preserve">The PGE customer must have firm transmission rights on the COI north to south to </w:t>
      </w:r>
      <w:proofErr w:type="gramStart"/>
      <w:r>
        <w:rPr>
          <w:rFonts w:ascii="Arial" w:hAnsi="Arial"/>
        </w:rPr>
        <w:t>e</w:t>
      </w:r>
      <w:r w:rsidRPr="006A6F5D">
        <w:rPr>
          <w:rFonts w:ascii="Arial" w:hAnsi="Arial"/>
        </w:rPr>
        <w:t>ffect</w:t>
      </w:r>
      <w:proofErr w:type="gramEnd"/>
      <w:r w:rsidRPr="006A6F5D">
        <w:rPr>
          <w:rFonts w:ascii="Arial" w:hAnsi="Arial"/>
        </w:rPr>
        <w:t xml:space="preserve"> Dynamic Transfers on PGE’s share of the COI.</w:t>
      </w:r>
    </w:p>
    <w:p w:rsidR="00FC1F46" w:rsidRPr="006A6F5D" w:rsidRDefault="00FC1F46" w:rsidP="00FC1F46">
      <w:pPr>
        <w:ind w:left="720"/>
        <w:jc w:val="both"/>
        <w:outlineLvl w:val="2"/>
        <w:rPr>
          <w:rFonts w:ascii="Arial" w:hAnsi="Arial" w:cs="Arial"/>
          <w:b/>
          <w:bCs/>
        </w:rPr>
      </w:pPr>
    </w:p>
    <w:p w:rsidR="00FC1F46" w:rsidRPr="006A6F5D" w:rsidRDefault="00FC1F46" w:rsidP="00FC1F46">
      <w:pPr>
        <w:numPr>
          <w:ilvl w:val="2"/>
          <w:numId w:val="22"/>
        </w:numPr>
        <w:jc w:val="both"/>
        <w:outlineLvl w:val="2"/>
        <w:rPr>
          <w:rFonts w:ascii="Arial" w:hAnsi="Arial" w:cs="Arial"/>
          <w:b/>
          <w:bCs/>
        </w:rPr>
      </w:pPr>
      <w:r w:rsidRPr="006A6F5D">
        <w:rPr>
          <w:rFonts w:ascii="Arial" w:hAnsi="Arial"/>
        </w:rPr>
        <w:t>The Dynamic Transfer Entity that requires a Dynamic Transfer shall be operating within a Balancing Authority Area recognized by the WECC.</w:t>
      </w:r>
    </w:p>
    <w:p w:rsidR="00FC1F46" w:rsidRDefault="00FC1F46" w:rsidP="00FC1F46">
      <w:pPr>
        <w:pStyle w:val="ListParagraph"/>
        <w:rPr>
          <w:rFonts w:ascii="Arial" w:hAnsi="Arial"/>
        </w:rPr>
      </w:pPr>
    </w:p>
    <w:p w:rsidR="00FC1F46" w:rsidRPr="006A6F5D" w:rsidRDefault="00FC1F46" w:rsidP="00FC1F46">
      <w:pPr>
        <w:numPr>
          <w:ilvl w:val="2"/>
          <w:numId w:val="22"/>
        </w:numPr>
        <w:jc w:val="both"/>
        <w:outlineLvl w:val="2"/>
        <w:rPr>
          <w:rFonts w:ascii="Arial" w:hAnsi="Arial" w:cs="Arial"/>
          <w:b/>
          <w:bCs/>
        </w:rPr>
      </w:pPr>
      <w:r w:rsidRPr="006A6F5D">
        <w:rPr>
          <w:rFonts w:ascii="Arial" w:hAnsi="Arial"/>
        </w:rPr>
        <w:t>The Dynamic Transfer Entity must coordinate with its Balancing Authority, PGE,</w:t>
      </w:r>
      <w:r>
        <w:rPr>
          <w:rFonts w:ascii="Arial" w:hAnsi="Arial"/>
        </w:rPr>
        <w:t xml:space="preserve"> </w:t>
      </w:r>
      <w:r w:rsidRPr="006A6F5D">
        <w:rPr>
          <w:rFonts w:ascii="Arial" w:hAnsi="Arial"/>
        </w:rPr>
        <w:t>and any other impacted Balancing Authorities to ensure that procedures are in place and appropriate agreements executed to facilitate the desired Dynamic Transfer.</w:t>
      </w:r>
    </w:p>
    <w:p w:rsidR="00FC1F46" w:rsidRDefault="00FC1F46" w:rsidP="00FC1F46">
      <w:pPr>
        <w:pStyle w:val="ListParagraph"/>
        <w:rPr>
          <w:rFonts w:ascii="Arial" w:hAnsi="Arial"/>
        </w:rPr>
      </w:pPr>
    </w:p>
    <w:p w:rsidR="00FC1F46" w:rsidRPr="006A6F5D" w:rsidRDefault="00FC1F46" w:rsidP="00FC1F46">
      <w:pPr>
        <w:numPr>
          <w:ilvl w:val="2"/>
          <w:numId w:val="22"/>
        </w:numPr>
        <w:jc w:val="both"/>
        <w:outlineLvl w:val="2"/>
        <w:rPr>
          <w:rFonts w:ascii="Arial" w:hAnsi="Arial" w:cs="Arial"/>
          <w:b/>
          <w:bCs/>
        </w:rPr>
      </w:pPr>
      <w:r w:rsidRPr="006A6F5D">
        <w:rPr>
          <w:rFonts w:ascii="Arial" w:hAnsi="Arial"/>
        </w:rPr>
        <w:t>The Dynamic Transfer Entity and all involved Balancing Authorities must comply with WECC and NERC (or successor organizations) standards and policies.</w:t>
      </w:r>
    </w:p>
    <w:p w:rsidR="006A6F5D" w:rsidRDefault="006A6F5D" w:rsidP="006A6F5D">
      <w:pPr>
        <w:ind w:left="720"/>
        <w:jc w:val="both"/>
        <w:outlineLvl w:val="2"/>
        <w:rPr>
          <w:rFonts w:ascii="Arial" w:hAnsi="Arial" w:cs="Arial"/>
          <w:b/>
          <w:bCs/>
        </w:rPr>
      </w:pPr>
    </w:p>
    <w:p w:rsidR="003273CC" w:rsidRPr="006A6F5D" w:rsidRDefault="003273CC" w:rsidP="006A6F5D">
      <w:pPr>
        <w:ind w:left="720"/>
        <w:jc w:val="both"/>
        <w:outlineLvl w:val="2"/>
        <w:rPr>
          <w:rFonts w:ascii="Arial" w:hAnsi="Arial" w:cs="Arial"/>
          <w:b/>
          <w:bCs/>
        </w:rPr>
      </w:pPr>
    </w:p>
    <w:p w:rsidR="00655C78" w:rsidRPr="00655C78" w:rsidRDefault="006A6F5D" w:rsidP="008C4905">
      <w:pPr>
        <w:numPr>
          <w:ilvl w:val="1"/>
          <w:numId w:val="22"/>
        </w:numPr>
        <w:jc w:val="both"/>
        <w:outlineLvl w:val="2"/>
        <w:rPr>
          <w:rFonts w:ascii="Arial" w:hAnsi="Arial" w:cs="Arial"/>
          <w:b/>
          <w:bCs/>
          <w:u w:val="single"/>
        </w:rPr>
      </w:pPr>
      <w:r w:rsidRPr="00655C78">
        <w:rPr>
          <w:rFonts w:ascii="Arial" w:hAnsi="Arial"/>
          <w:b/>
          <w:u w:val="single"/>
        </w:rPr>
        <w:t>Telemetering</w:t>
      </w:r>
    </w:p>
    <w:p w:rsidR="00655C78" w:rsidRPr="00655C78" w:rsidRDefault="00655C78" w:rsidP="00655C78">
      <w:pPr>
        <w:ind w:left="720"/>
        <w:jc w:val="both"/>
        <w:outlineLvl w:val="2"/>
        <w:rPr>
          <w:rFonts w:ascii="Arial" w:hAnsi="Arial" w:cs="Arial"/>
          <w:b/>
          <w:bCs/>
        </w:rPr>
      </w:pPr>
    </w:p>
    <w:p w:rsidR="00FC1F46" w:rsidRPr="000C6A3C" w:rsidRDefault="00FC1F46" w:rsidP="00FC1F46">
      <w:pPr>
        <w:numPr>
          <w:ilvl w:val="2"/>
          <w:numId w:val="22"/>
        </w:numPr>
        <w:jc w:val="both"/>
        <w:outlineLvl w:val="2"/>
        <w:rPr>
          <w:rFonts w:ascii="Arial" w:hAnsi="Arial"/>
        </w:rPr>
      </w:pPr>
      <w:r w:rsidRPr="000C6A3C">
        <w:rPr>
          <w:rFonts w:ascii="Arial" w:hAnsi="Arial"/>
        </w:rPr>
        <w:t>Each Dynamic Transfer established on PGE</w:t>
      </w:r>
      <w:r w:rsidRPr="000C6A3C">
        <w:rPr>
          <w:rFonts w:ascii="Arial" w:hAnsi="Arial" w:cs="Arial"/>
          <w:b/>
          <w:bCs/>
        </w:rPr>
        <w:t>’</w:t>
      </w:r>
      <w:r w:rsidRPr="000C6A3C">
        <w:rPr>
          <w:rFonts w:ascii="Arial" w:hAnsi="Arial" w:cs="Arial"/>
          <w:bCs/>
        </w:rPr>
        <w:t>s ownership share of the COI will require that PGET establish telemetry with the PGE balancing authority and with the Source and Sink balancing authorities of the Dynamic Transfer.  PGET will make arrangements to implement the appropriate telemetry after the customer completes and submits the form included as Attachment 1 to this business practice - Registration for Dynamic Transfer Capability on the COI.</w:t>
      </w:r>
    </w:p>
    <w:p w:rsidR="00FC1F46" w:rsidRPr="000C6A3C" w:rsidRDefault="00FC1F46" w:rsidP="00FC1F46">
      <w:pPr>
        <w:pStyle w:val="ListParagraph"/>
        <w:rPr>
          <w:rFonts w:ascii="Arial" w:hAnsi="Arial"/>
          <w:sz w:val="16"/>
          <w:szCs w:val="16"/>
        </w:rPr>
      </w:pPr>
    </w:p>
    <w:p w:rsidR="00FC1F46" w:rsidRPr="000C6A3C" w:rsidRDefault="00FC1F46" w:rsidP="00FC1F46">
      <w:pPr>
        <w:numPr>
          <w:ilvl w:val="2"/>
          <w:numId w:val="22"/>
        </w:numPr>
        <w:jc w:val="both"/>
        <w:outlineLvl w:val="2"/>
        <w:rPr>
          <w:rFonts w:ascii="Arial" w:hAnsi="Arial" w:cs="Arial"/>
          <w:bCs/>
        </w:rPr>
      </w:pPr>
      <w:r w:rsidRPr="000C6A3C">
        <w:rPr>
          <w:rFonts w:ascii="Arial" w:hAnsi="Arial" w:cs="Arial"/>
          <w:bCs/>
        </w:rPr>
        <w:t>Once the customer submits the registration form included as Attachment 1 to this business practice, it will take approximately 30 days to implement the necessary telemetry arrangements prior to a customer being eligible to submit requests via e-Tag to utilize awarded Dynamic Transfer Capability.</w:t>
      </w:r>
    </w:p>
    <w:p w:rsidR="00FC1F46" w:rsidRPr="000C6A3C" w:rsidRDefault="00FC1F46" w:rsidP="00FC1F46">
      <w:pPr>
        <w:pStyle w:val="ListParagraph"/>
        <w:rPr>
          <w:rFonts w:ascii="Arial" w:hAnsi="Arial" w:cs="Arial"/>
          <w:bCs/>
        </w:rPr>
      </w:pPr>
    </w:p>
    <w:p w:rsidR="00FC1F46" w:rsidRPr="000C6A3C" w:rsidRDefault="00FC1F46" w:rsidP="00FC1F46">
      <w:pPr>
        <w:numPr>
          <w:ilvl w:val="2"/>
          <w:numId w:val="22"/>
        </w:numPr>
        <w:jc w:val="both"/>
        <w:outlineLvl w:val="2"/>
        <w:rPr>
          <w:rFonts w:ascii="Arial" w:hAnsi="Arial" w:cs="Arial"/>
          <w:bCs/>
        </w:rPr>
      </w:pPr>
      <w:r w:rsidRPr="000C6A3C">
        <w:rPr>
          <w:rFonts w:ascii="Arial" w:hAnsi="Arial" w:cs="Arial"/>
          <w:bCs/>
        </w:rPr>
        <w:t xml:space="preserve">PGE will notify the customer when telemetry arrangements are complete.  A customer’s e-Tag request for Dynamic Transfer Capability will not be approved until the customer has submitted the registration form and PGE has notified the customer that communication arrangements are complete. </w:t>
      </w:r>
    </w:p>
    <w:p w:rsidR="00FC1F46" w:rsidRPr="000C6A3C" w:rsidRDefault="00FC1F46" w:rsidP="00FC1F46">
      <w:pPr>
        <w:pStyle w:val="ListParagraph"/>
        <w:rPr>
          <w:rFonts w:ascii="Arial" w:hAnsi="Arial" w:cs="Arial"/>
          <w:bCs/>
        </w:rPr>
      </w:pPr>
    </w:p>
    <w:p w:rsidR="00FC1F46" w:rsidRPr="000C6A3C" w:rsidRDefault="00FC1F46" w:rsidP="00FC1F46">
      <w:pPr>
        <w:numPr>
          <w:ilvl w:val="2"/>
          <w:numId w:val="22"/>
        </w:numPr>
        <w:jc w:val="both"/>
        <w:outlineLvl w:val="2"/>
        <w:rPr>
          <w:rFonts w:ascii="Arial" w:hAnsi="Arial" w:cs="Arial"/>
          <w:bCs/>
        </w:rPr>
      </w:pPr>
      <w:r w:rsidRPr="000C6A3C">
        <w:rPr>
          <w:rFonts w:ascii="Arial" w:hAnsi="Arial" w:cs="Arial"/>
          <w:bCs/>
        </w:rPr>
        <w:t xml:space="preserve">A Dynamic Transfer Entity’s DTC e-Tag requests will be restricted to the Firm Point-to-Point Transmission reservation, Source, and Sink identified on the Dynamic Transfer Entity’s registration form.  A Dynamic Transfer Entity may not submit an e-Tag request that utilizes a different Firm Point-to-Point Transmission reservation, Source, or Sink until the Dynamic Transfer Entity has submitted a new registration form and received notice from PGE that appropriate telemetry arrangements are complete.  </w:t>
      </w:r>
    </w:p>
    <w:p w:rsidR="00655C78" w:rsidRDefault="00655C78" w:rsidP="00655C78">
      <w:pPr>
        <w:pStyle w:val="ListParagraph"/>
        <w:rPr>
          <w:rFonts w:ascii="Arial" w:hAnsi="Arial"/>
          <w:b/>
        </w:rPr>
      </w:pPr>
    </w:p>
    <w:p w:rsidR="003273CC" w:rsidRDefault="003273CC" w:rsidP="00655C78">
      <w:pPr>
        <w:pStyle w:val="ListParagraph"/>
        <w:rPr>
          <w:rFonts w:ascii="Arial" w:hAnsi="Arial"/>
          <w:b/>
        </w:rPr>
      </w:pPr>
    </w:p>
    <w:p w:rsidR="00655C78" w:rsidRPr="001E2265" w:rsidRDefault="00655C78" w:rsidP="008C4905">
      <w:pPr>
        <w:numPr>
          <w:ilvl w:val="1"/>
          <w:numId w:val="22"/>
        </w:numPr>
        <w:jc w:val="both"/>
        <w:outlineLvl w:val="2"/>
        <w:rPr>
          <w:rFonts w:ascii="Arial" w:hAnsi="Arial" w:cs="Arial"/>
          <w:b/>
          <w:bCs/>
          <w:u w:val="single"/>
        </w:rPr>
      </w:pPr>
      <w:r w:rsidRPr="001E2265">
        <w:rPr>
          <w:rFonts w:ascii="Arial" w:hAnsi="Arial"/>
          <w:b/>
          <w:u w:val="single"/>
        </w:rPr>
        <w:t>E-Tagging Dynamic Transfers</w:t>
      </w:r>
    </w:p>
    <w:p w:rsidR="00655C78" w:rsidRDefault="00655C78" w:rsidP="00655C78">
      <w:pPr>
        <w:pStyle w:val="Default"/>
        <w:rPr>
          <w:rFonts w:ascii="Arial" w:hAnsi="Arial" w:cs="Times New Roman"/>
          <w:b/>
          <w:color w:val="auto"/>
          <w:sz w:val="20"/>
          <w:szCs w:val="20"/>
        </w:rPr>
      </w:pPr>
    </w:p>
    <w:p w:rsidR="00FC1F46" w:rsidRDefault="00FC1F46" w:rsidP="00FC1F46">
      <w:pPr>
        <w:pStyle w:val="Default"/>
        <w:numPr>
          <w:ilvl w:val="2"/>
          <w:numId w:val="22"/>
        </w:numPr>
        <w:rPr>
          <w:rFonts w:ascii="Arial" w:hAnsi="Arial" w:cs="Times New Roman"/>
          <w:color w:val="auto"/>
          <w:sz w:val="20"/>
          <w:szCs w:val="20"/>
        </w:rPr>
      </w:pPr>
      <w:r>
        <w:rPr>
          <w:rFonts w:ascii="Arial" w:hAnsi="Arial" w:cs="Times New Roman"/>
          <w:color w:val="auto"/>
          <w:sz w:val="20"/>
          <w:szCs w:val="20"/>
        </w:rPr>
        <w:t>Dynamic Transfer requests are submitted and awarded via submission of a DYNAMIC type Request for Interchange (e-tag).</w:t>
      </w:r>
    </w:p>
    <w:p w:rsidR="00FC1F46" w:rsidRDefault="00FC1F46" w:rsidP="00FC1F46">
      <w:pPr>
        <w:pStyle w:val="Default"/>
        <w:ind w:left="720"/>
        <w:rPr>
          <w:rFonts w:ascii="Arial" w:hAnsi="Arial" w:cs="Times New Roman"/>
          <w:color w:val="auto"/>
          <w:sz w:val="20"/>
          <w:szCs w:val="20"/>
        </w:rPr>
      </w:pPr>
    </w:p>
    <w:p w:rsidR="00FC1F46" w:rsidRDefault="00FC1F46" w:rsidP="00FC1F46">
      <w:pPr>
        <w:pStyle w:val="Default"/>
        <w:numPr>
          <w:ilvl w:val="2"/>
          <w:numId w:val="22"/>
        </w:numPr>
        <w:rPr>
          <w:rFonts w:ascii="Arial" w:hAnsi="Arial" w:cs="Times New Roman"/>
          <w:color w:val="auto"/>
          <w:sz w:val="20"/>
          <w:szCs w:val="20"/>
        </w:rPr>
      </w:pPr>
      <w:r w:rsidRPr="003B35E9">
        <w:rPr>
          <w:rFonts w:ascii="Arial" w:hAnsi="Arial" w:cs="Times New Roman"/>
          <w:color w:val="auto"/>
          <w:sz w:val="20"/>
          <w:szCs w:val="20"/>
        </w:rPr>
        <w:t xml:space="preserve">Each Dynamic Transfer shall be electronically e-tagged in accordance with current NERC and WECC requirements and </w:t>
      </w:r>
      <w:r>
        <w:rPr>
          <w:rFonts w:ascii="Arial" w:hAnsi="Arial" w:cs="Times New Roman"/>
          <w:color w:val="auto"/>
          <w:sz w:val="20"/>
          <w:szCs w:val="20"/>
        </w:rPr>
        <w:t xml:space="preserve">PGE </w:t>
      </w:r>
      <w:r w:rsidRPr="003B35E9">
        <w:rPr>
          <w:rFonts w:ascii="Arial" w:hAnsi="Arial" w:cs="Times New Roman"/>
          <w:color w:val="auto"/>
          <w:sz w:val="20"/>
          <w:szCs w:val="20"/>
        </w:rPr>
        <w:t>procedures.</w:t>
      </w:r>
    </w:p>
    <w:p w:rsidR="00655C78" w:rsidRPr="003B35E9" w:rsidRDefault="00655C78" w:rsidP="00655C78">
      <w:pPr>
        <w:pStyle w:val="Default"/>
        <w:rPr>
          <w:rFonts w:ascii="Arial" w:hAnsi="Arial" w:cs="Times New Roman"/>
          <w:color w:val="auto"/>
          <w:sz w:val="20"/>
          <w:szCs w:val="20"/>
        </w:rPr>
      </w:pPr>
    </w:p>
    <w:p w:rsidR="00FC1F46" w:rsidRPr="00C06E53" w:rsidRDefault="00FC1F46" w:rsidP="00FC1F46">
      <w:pPr>
        <w:pStyle w:val="Default"/>
        <w:numPr>
          <w:ilvl w:val="2"/>
          <w:numId w:val="22"/>
        </w:numPr>
        <w:rPr>
          <w:rFonts w:ascii="Arial" w:hAnsi="Arial" w:cs="Times New Roman"/>
          <w:color w:val="auto"/>
          <w:sz w:val="20"/>
          <w:szCs w:val="20"/>
        </w:rPr>
      </w:pPr>
      <w:r w:rsidRPr="004766FF">
        <w:rPr>
          <w:rFonts w:ascii="Arial" w:hAnsi="Arial" w:cs="Times New Roman"/>
          <w:color w:val="auto"/>
          <w:sz w:val="20"/>
          <w:szCs w:val="20"/>
        </w:rPr>
        <w:lastRenderedPageBreak/>
        <w:t xml:space="preserve">The Transmission profile on the </w:t>
      </w:r>
      <w:r>
        <w:rPr>
          <w:rFonts w:ascii="Arial" w:hAnsi="Arial" w:cs="Times New Roman"/>
          <w:color w:val="auto"/>
          <w:sz w:val="20"/>
          <w:szCs w:val="20"/>
        </w:rPr>
        <w:t>e-Tag</w:t>
      </w:r>
      <w:r w:rsidRPr="004766FF">
        <w:rPr>
          <w:rFonts w:ascii="Arial" w:hAnsi="Arial" w:cs="Times New Roman"/>
          <w:color w:val="auto"/>
          <w:sz w:val="20"/>
          <w:szCs w:val="20"/>
        </w:rPr>
        <w:t xml:space="preserve"> will be used to determine the transmission demand set aside for a Dynamic Transfer. The dynamic capacity reserved shall be deemed as used.</w:t>
      </w:r>
    </w:p>
    <w:p w:rsidR="00FC1F46" w:rsidRDefault="00FC1F46" w:rsidP="00FC1F46">
      <w:pPr>
        <w:pStyle w:val="ListParagraph"/>
        <w:rPr>
          <w:rFonts w:ascii="Arial" w:hAnsi="Arial"/>
        </w:rPr>
      </w:pPr>
    </w:p>
    <w:p w:rsidR="00FC1F46" w:rsidRDefault="00FC1F46" w:rsidP="00FC1F46">
      <w:pPr>
        <w:pStyle w:val="Default"/>
        <w:numPr>
          <w:ilvl w:val="2"/>
          <w:numId w:val="22"/>
        </w:numPr>
        <w:rPr>
          <w:rFonts w:ascii="Arial" w:hAnsi="Arial" w:cs="Times New Roman"/>
          <w:color w:val="auto"/>
          <w:sz w:val="20"/>
          <w:szCs w:val="20"/>
        </w:rPr>
      </w:pPr>
      <w:r>
        <w:rPr>
          <w:rFonts w:ascii="Arial" w:hAnsi="Arial" w:cs="Times New Roman"/>
          <w:color w:val="auto"/>
          <w:sz w:val="20"/>
          <w:szCs w:val="20"/>
        </w:rPr>
        <w:t>The e-Tag</w:t>
      </w:r>
      <w:r w:rsidRPr="003B35E9">
        <w:rPr>
          <w:rFonts w:ascii="Arial" w:hAnsi="Arial" w:cs="Times New Roman"/>
          <w:color w:val="auto"/>
          <w:sz w:val="20"/>
          <w:szCs w:val="20"/>
        </w:rPr>
        <w:t xml:space="preserve"> for a Dynamic Transfer </w:t>
      </w:r>
      <w:r>
        <w:rPr>
          <w:rFonts w:ascii="Arial" w:hAnsi="Arial" w:cs="Times New Roman"/>
          <w:color w:val="auto"/>
          <w:sz w:val="20"/>
          <w:szCs w:val="20"/>
        </w:rPr>
        <w:t xml:space="preserve">must </w:t>
      </w:r>
      <w:r w:rsidRPr="003B35E9">
        <w:rPr>
          <w:rFonts w:ascii="Arial" w:hAnsi="Arial" w:cs="Times New Roman"/>
          <w:color w:val="auto"/>
          <w:sz w:val="20"/>
          <w:szCs w:val="20"/>
        </w:rPr>
        <w:t>include the following:</w:t>
      </w:r>
    </w:p>
    <w:p w:rsidR="00FC1F46" w:rsidRDefault="00FC1F46" w:rsidP="00FC1F46">
      <w:pPr>
        <w:pStyle w:val="ListParagraph"/>
        <w:rPr>
          <w:rFonts w:ascii="Arial" w:hAnsi="Arial"/>
        </w:rPr>
      </w:pPr>
    </w:p>
    <w:p w:rsidR="00FC1F46" w:rsidRDefault="00FC1F46" w:rsidP="00FC1F46">
      <w:pPr>
        <w:pStyle w:val="Default"/>
        <w:numPr>
          <w:ilvl w:val="3"/>
          <w:numId w:val="22"/>
        </w:numPr>
        <w:rPr>
          <w:rFonts w:ascii="Arial" w:hAnsi="Arial" w:cs="Times New Roman"/>
          <w:color w:val="auto"/>
          <w:sz w:val="20"/>
          <w:szCs w:val="20"/>
        </w:rPr>
      </w:pPr>
      <w:r w:rsidRPr="003B35E9">
        <w:rPr>
          <w:rFonts w:ascii="Arial" w:hAnsi="Arial" w:cs="Times New Roman"/>
          <w:color w:val="auto"/>
          <w:sz w:val="20"/>
          <w:szCs w:val="20"/>
        </w:rPr>
        <w:t>Transaction type “DYNAMIC” is required for Dynamic Schedules.</w:t>
      </w:r>
    </w:p>
    <w:p w:rsidR="00FC1F46" w:rsidRPr="003B35E9" w:rsidRDefault="00FC1F46" w:rsidP="00FC1F46">
      <w:pPr>
        <w:pStyle w:val="Default"/>
        <w:ind w:left="1440"/>
        <w:rPr>
          <w:rFonts w:ascii="Arial" w:hAnsi="Arial" w:cs="Times New Roman"/>
          <w:color w:val="auto"/>
          <w:sz w:val="20"/>
          <w:szCs w:val="20"/>
        </w:rPr>
      </w:pPr>
    </w:p>
    <w:p w:rsidR="00FC1F46" w:rsidRDefault="00FC1F46" w:rsidP="00FC1F46">
      <w:pPr>
        <w:pStyle w:val="Default"/>
        <w:numPr>
          <w:ilvl w:val="3"/>
          <w:numId w:val="22"/>
        </w:numPr>
        <w:rPr>
          <w:rFonts w:ascii="Arial" w:hAnsi="Arial" w:cs="Times New Roman"/>
          <w:color w:val="auto"/>
          <w:sz w:val="20"/>
          <w:szCs w:val="20"/>
        </w:rPr>
      </w:pPr>
      <w:r w:rsidRPr="003B35E9">
        <w:rPr>
          <w:rFonts w:ascii="Arial" w:hAnsi="Arial" w:cs="Times New Roman"/>
          <w:color w:val="auto"/>
          <w:sz w:val="20"/>
          <w:szCs w:val="20"/>
        </w:rPr>
        <w:t>Expected average Energy Profile delivered during the hour.</w:t>
      </w:r>
    </w:p>
    <w:p w:rsidR="00FC1F46" w:rsidRPr="003B35E9" w:rsidRDefault="00FC1F46" w:rsidP="00FC1F46">
      <w:pPr>
        <w:pStyle w:val="Default"/>
        <w:ind w:left="1440"/>
        <w:rPr>
          <w:rFonts w:ascii="Arial" w:hAnsi="Arial" w:cs="Times New Roman"/>
          <w:color w:val="auto"/>
          <w:sz w:val="20"/>
          <w:szCs w:val="20"/>
        </w:rPr>
      </w:pPr>
    </w:p>
    <w:p w:rsidR="00FC1F46" w:rsidRDefault="00FC1F46" w:rsidP="00FC1F46">
      <w:pPr>
        <w:pStyle w:val="Default"/>
        <w:numPr>
          <w:ilvl w:val="3"/>
          <w:numId w:val="22"/>
        </w:numPr>
        <w:ind w:left="1800" w:hanging="720"/>
        <w:rPr>
          <w:rFonts w:ascii="Arial" w:hAnsi="Arial" w:cs="Times New Roman"/>
          <w:color w:val="auto"/>
          <w:sz w:val="20"/>
          <w:szCs w:val="20"/>
        </w:rPr>
      </w:pPr>
      <w:r w:rsidRPr="003B35E9">
        <w:rPr>
          <w:rFonts w:ascii="Arial" w:hAnsi="Arial" w:cs="Times New Roman"/>
          <w:color w:val="auto"/>
          <w:sz w:val="20"/>
          <w:szCs w:val="20"/>
        </w:rPr>
        <w:t>Adjustment after the hour will use the integrated official Dynamic Transfer.</w:t>
      </w:r>
    </w:p>
    <w:p w:rsidR="00FC1F46" w:rsidRPr="003B35E9" w:rsidRDefault="00FC1F46" w:rsidP="00FC1F46">
      <w:pPr>
        <w:pStyle w:val="Default"/>
        <w:rPr>
          <w:rFonts w:ascii="Arial" w:hAnsi="Arial" w:cs="Times New Roman"/>
          <w:color w:val="auto"/>
          <w:sz w:val="20"/>
          <w:szCs w:val="20"/>
        </w:rPr>
      </w:pPr>
    </w:p>
    <w:p w:rsidR="00FC1F46" w:rsidRDefault="00FC1F46" w:rsidP="00FC1F46">
      <w:pPr>
        <w:pStyle w:val="Default"/>
        <w:numPr>
          <w:ilvl w:val="3"/>
          <w:numId w:val="22"/>
        </w:numPr>
        <w:ind w:left="1800" w:hanging="720"/>
        <w:rPr>
          <w:rFonts w:ascii="Arial" w:hAnsi="Arial" w:cs="Times New Roman"/>
          <w:color w:val="auto"/>
          <w:sz w:val="20"/>
          <w:szCs w:val="20"/>
        </w:rPr>
      </w:pPr>
      <w:r w:rsidRPr="003B35E9">
        <w:rPr>
          <w:rFonts w:ascii="Arial" w:hAnsi="Arial" w:cs="Times New Roman"/>
          <w:color w:val="auto"/>
          <w:sz w:val="20"/>
          <w:szCs w:val="20"/>
        </w:rPr>
        <w:t>The Dynamic Transfer Entity responsible for tagging Dynamic Transfers must ensure the e-Tag is updated for the next scheduling hour and future hours when:</w:t>
      </w:r>
    </w:p>
    <w:p w:rsidR="00FC1F46" w:rsidRPr="003B35E9" w:rsidRDefault="00FC1F46" w:rsidP="00FC1F46">
      <w:pPr>
        <w:pStyle w:val="Default"/>
        <w:rPr>
          <w:rFonts w:ascii="Arial" w:hAnsi="Arial" w:cs="Times New Roman"/>
          <w:color w:val="auto"/>
          <w:sz w:val="20"/>
          <w:szCs w:val="20"/>
        </w:rPr>
      </w:pPr>
    </w:p>
    <w:p w:rsidR="00FC1F46" w:rsidRDefault="00FC1F46" w:rsidP="00FC1F46">
      <w:pPr>
        <w:pStyle w:val="Default"/>
        <w:numPr>
          <w:ilvl w:val="4"/>
          <w:numId w:val="22"/>
        </w:numPr>
        <w:ind w:left="2520" w:hanging="1080"/>
        <w:rPr>
          <w:rFonts w:ascii="Arial" w:hAnsi="Arial" w:cs="Times New Roman"/>
          <w:color w:val="auto"/>
          <w:sz w:val="20"/>
          <w:szCs w:val="20"/>
        </w:rPr>
      </w:pPr>
      <w:r w:rsidRPr="003B35E9">
        <w:rPr>
          <w:rFonts w:ascii="Arial" w:hAnsi="Arial" w:cs="Times New Roman"/>
          <w:color w:val="auto"/>
          <w:sz w:val="20"/>
          <w:szCs w:val="20"/>
        </w:rPr>
        <w:t>The average Energy Profile on the e-Tag deviates from the hourly average Energy Profile, as described in NERC Standard INT-004-2 (as may be replaced or modified);</w:t>
      </w:r>
    </w:p>
    <w:p w:rsidR="00FC1F46" w:rsidRPr="003B35E9" w:rsidRDefault="00FC1F46" w:rsidP="00FC1F46">
      <w:pPr>
        <w:pStyle w:val="Default"/>
        <w:rPr>
          <w:rFonts w:ascii="Arial" w:hAnsi="Arial" w:cs="Times New Roman"/>
          <w:color w:val="auto"/>
          <w:sz w:val="20"/>
          <w:szCs w:val="20"/>
        </w:rPr>
      </w:pPr>
    </w:p>
    <w:p w:rsidR="00FC1F46" w:rsidRDefault="00FC1F46" w:rsidP="00FC1F46">
      <w:pPr>
        <w:pStyle w:val="Default"/>
        <w:numPr>
          <w:ilvl w:val="4"/>
          <w:numId w:val="22"/>
        </w:numPr>
        <w:rPr>
          <w:rFonts w:ascii="Arial" w:hAnsi="Arial" w:cs="Times New Roman"/>
          <w:color w:val="auto"/>
          <w:sz w:val="20"/>
          <w:szCs w:val="20"/>
        </w:rPr>
      </w:pPr>
      <w:r w:rsidRPr="003B35E9">
        <w:rPr>
          <w:rFonts w:ascii="Arial" w:hAnsi="Arial" w:cs="Times New Roman"/>
          <w:color w:val="auto"/>
          <w:sz w:val="20"/>
          <w:szCs w:val="20"/>
        </w:rPr>
        <w:t xml:space="preserve">Requested </w:t>
      </w:r>
      <w:r>
        <w:rPr>
          <w:rFonts w:ascii="Arial" w:hAnsi="Arial" w:cs="Times New Roman"/>
          <w:color w:val="auto"/>
          <w:sz w:val="20"/>
          <w:szCs w:val="20"/>
        </w:rPr>
        <w:t xml:space="preserve">by a Reliability Coordinator, </w:t>
      </w:r>
      <w:r w:rsidRPr="003B35E9">
        <w:rPr>
          <w:rFonts w:ascii="Arial" w:hAnsi="Arial" w:cs="Times New Roman"/>
          <w:color w:val="auto"/>
          <w:sz w:val="20"/>
          <w:szCs w:val="20"/>
        </w:rPr>
        <w:t>BPA</w:t>
      </w:r>
      <w:r>
        <w:rPr>
          <w:rFonts w:ascii="Arial" w:hAnsi="Arial" w:cs="Times New Roman"/>
          <w:color w:val="auto"/>
          <w:sz w:val="20"/>
          <w:szCs w:val="20"/>
        </w:rPr>
        <w:t xml:space="preserve"> or PGE</w:t>
      </w:r>
      <w:r w:rsidRPr="003B35E9">
        <w:rPr>
          <w:rFonts w:ascii="Arial" w:hAnsi="Arial" w:cs="Times New Roman"/>
          <w:color w:val="auto"/>
          <w:sz w:val="20"/>
          <w:szCs w:val="20"/>
        </w:rPr>
        <w:t>.</w:t>
      </w:r>
    </w:p>
    <w:p w:rsidR="00FC1F46" w:rsidRPr="003B35E9" w:rsidRDefault="00FC1F46" w:rsidP="00FC1F46">
      <w:pPr>
        <w:pStyle w:val="Default"/>
        <w:ind w:left="1440"/>
        <w:rPr>
          <w:rFonts w:ascii="Arial" w:hAnsi="Arial" w:cs="Times New Roman"/>
          <w:color w:val="auto"/>
          <w:sz w:val="20"/>
          <w:szCs w:val="20"/>
        </w:rPr>
      </w:pPr>
    </w:p>
    <w:p w:rsidR="00FC1F46" w:rsidRDefault="00FC1F46" w:rsidP="00FC1F46">
      <w:pPr>
        <w:pStyle w:val="Default"/>
        <w:numPr>
          <w:ilvl w:val="2"/>
          <w:numId w:val="22"/>
        </w:numPr>
        <w:rPr>
          <w:rFonts w:ascii="Arial" w:hAnsi="Arial" w:cs="Times New Roman"/>
          <w:color w:val="auto"/>
          <w:sz w:val="20"/>
          <w:szCs w:val="20"/>
        </w:rPr>
      </w:pPr>
      <w:r w:rsidRPr="003B35E9">
        <w:rPr>
          <w:rFonts w:ascii="Arial" w:hAnsi="Arial" w:cs="Times New Roman"/>
          <w:color w:val="auto"/>
          <w:sz w:val="20"/>
          <w:szCs w:val="20"/>
        </w:rPr>
        <w:t xml:space="preserve">Real-time pro rata curtailments of transmission capacity that </w:t>
      </w:r>
      <w:r>
        <w:rPr>
          <w:rFonts w:ascii="Arial" w:hAnsi="Arial" w:cs="Times New Roman"/>
          <w:color w:val="auto"/>
          <w:sz w:val="20"/>
          <w:szCs w:val="20"/>
        </w:rPr>
        <w:t>are</w:t>
      </w:r>
      <w:r w:rsidRPr="003B35E9">
        <w:rPr>
          <w:rFonts w:ascii="Arial" w:hAnsi="Arial" w:cs="Times New Roman"/>
          <w:color w:val="auto"/>
          <w:sz w:val="20"/>
          <w:szCs w:val="20"/>
        </w:rPr>
        <w:t xml:space="preserve"> being used to </w:t>
      </w:r>
      <w:proofErr w:type="gramStart"/>
      <w:r w:rsidRPr="003B35E9">
        <w:rPr>
          <w:rFonts w:ascii="Arial" w:hAnsi="Arial" w:cs="Times New Roman"/>
          <w:color w:val="auto"/>
          <w:sz w:val="20"/>
          <w:szCs w:val="20"/>
        </w:rPr>
        <w:t>effect</w:t>
      </w:r>
      <w:proofErr w:type="gramEnd"/>
      <w:r w:rsidRPr="003B35E9">
        <w:rPr>
          <w:rFonts w:ascii="Arial" w:hAnsi="Arial" w:cs="Times New Roman"/>
          <w:color w:val="auto"/>
          <w:sz w:val="20"/>
          <w:szCs w:val="20"/>
        </w:rPr>
        <w:t xml:space="preserve"> a Dynamic Transfer will be calculated based upon the actual Dynamic Transfer Return Signal at the time of the curtailment. </w:t>
      </w:r>
    </w:p>
    <w:p w:rsidR="00FC1F46" w:rsidRDefault="00FC1F46" w:rsidP="00FC1F46">
      <w:pPr>
        <w:pStyle w:val="Default"/>
        <w:ind w:left="1224"/>
        <w:rPr>
          <w:rFonts w:ascii="Arial" w:hAnsi="Arial" w:cs="Times New Roman"/>
          <w:color w:val="auto"/>
          <w:sz w:val="20"/>
          <w:szCs w:val="20"/>
        </w:rPr>
      </w:pPr>
    </w:p>
    <w:p w:rsidR="00FC1F46" w:rsidRDefault="00FC1F46" w:rsidP="00FC1F46">
      <w:pPr>
        <w:pStyle w:val="Default"/>
        <w:numPr>
          <w:ilvl w:val="2"/>
          <w:numId w:val="22"/>
        </w:numPr>
        <w:rPr>
          <w:rFonts w:ascii="Arial" w:hAnsi="Arial" w:cs="Times New Roman"/>
          <w:color w:val="auto"/>
          <w:sz w:val="20"/>
          <w:szCs w:val="20"/>
        </w:rPr>
      </w:pPr>
      <w:r>
        <w:rPr>
          <w:rFonts w:ascii="Arial" w:hAnsi="Arial" w:cs="Times New Roman"/>
          <w:color w:val="auto"/>
          <w:sz w:val="20"/>
          <w:szCs w:val="20"/>
        </w:rPr>
        <w:t>A limit or hold placed on a</w:t>
      </w:r>
      <w:r w:rsidRPr="003B35E9">
        <w:rPr>
          <w:rFonts w:ascii="Arial" w:hAnsi="Arial" w:cs="Times New Roman"/>
          <w:color w:val="auto"/>
          <w:sz w:val="20"/>
          <w:szCs w:val="20"/>
        </w:rPr>
        <w:t xml:space="preserve"> Dynamic Transfer will be communicated via the D</w:t>
      </w:r>
      <w:r>
        <w:rPr>
          <w:rFonts w:ascii="Arial" w:hAnsi="Arial" w:cs="Times New Roman"/>
          <w:color w:val="auto"/>
          <w:sz w:val="20"/>
          <w:szCs w:val="20"/>
        </w:rPr>
        <w:t>ynamic Transfer Limit Signal to the impacted Transmission Provider and then to the balancing authorities impacted by the Dynamic Transfer.</w:t>
      </w:r>
    </w:p>
    <w:p w:rsidR="00655C78" w:rsidRPr="003B35E9" w:rsidRDefault="00655C78" w:rsidP="00655C78">
      <w:pPr>
        <w:pStyle w:val="Default"/>
        <w:ind w:left="720"/>
        <w:rPr>
          <w:rFonts w:ascii="Arial" w:hAnsi="Arial" w:cs="Times New Roman"/>
          <w:color w:val="auto"/>
          <w:sz w:val="20"/>
          <w:szCs w:val="20"/>
        </w:rPr>
      </w:pPr>
    </w:p>
    <w:p w:rsidR="00655C78" w:rsidRDefault="00655C78" w:rsidP="00655C78">
      <w:pPr>
        <w:pStyle w:val="ListParagraph"/>
        <w:rPr>
          <w:rFonts w:ascii="Arial" w:hAnsi="Arial"/>
          <w:b/>
        </w:rPr>
      </w:pPr>
    </w:p>
    <w:p w:rsidR="00655C78" w:rsidRPr="00655C78" w:rsidRDefault="00655C78" w:rsidP="008C4905">
      <w:pPr>
        <w:pStyle w:val="Default"/>
        <w:numPr>
          <w:ilvl w:val="1"/>
          <w:numId w:val="22"/>
        </w:numPr>
        <w:rPr>
          <w:rFonts w:ascii="Arial" w:hAnsi="Arial" w:cs="Times New Roman"/>
          <w:color w:val="auto"/>
          <w:sz w:val="20"/>
          <w:szCs w:val="20"/>
          <w:u w:val="single"/>
        </w:rPr>
      </w:pPr>
      <w:r w:rsidRPr="00655C78">
        <w:rPr>
          <w:rFonts w:ascii="Arial" w:hAnsi="Arial" w:cs="Times New Roman"/>
          <w:b/>
          <w:color w:val="auto"/>
          <w:sz w:val="20"/>
          <w:szCs w:val="20"/>
          <w:u w:val="single"/>
        </w:rPr>
        <w:t>Apportioning California Oregon Intertie (COI) Dynamic Transfer Capability</w:t>
      </w:r>
    </w:p>
    <w:p w:rsidR="00655C78" w:rsidRDefault="00655C78" w:rsidP="00655C78">
      <w:pPr>
        <w:pStyle w:val="Default"/>
        <w:rPr>
          <w:rFonts w:ascii="Arial" w:hAnsi="Arial" w:cs="Times New Roman"/>
          <w:color w:val="auto"/>
          <w:sz w:val="20"/>
          <w:szCs w:val="20"/>
        </w:rPr>
      </w:pPr>
    </w:p>
    <w:p w:rsidR="00FC1F46" w:rsidRDefault="00FC1F46" w:rsidP="00FC1F46">
      <w:pPr>
        <w:pStyle w:val="Default"/>
        <w:numPr>
          <w:ilvl w:val="2"/>
          <w:numId w:val="22"/>
        </w:numPr>
        <w:rPr>
          <w:rFonts w:ascii="Arial" w:hAnsi="Arial" w:cs="Times New Roman"/>
          <w:color w:val="auto"/>
          <w:sz w:val="20"/>
          <w:szCs w:val="20"/>
        </w:rPr>
      </w:pPr>
      <w:r w:rsidRPr="004766FF">
        <w:rPr>
          <w:rFonts w:ascii="Arial" w:hAnsi="Arial" w:cs="Times New Roman"/>
          <w:color w:val="auto"/>
          <w:sz w:val="20"/>
          <w:szCs w:val="20"/>
        </w:rPr>
        <w:t xml:space="preserve">COI DTC </w:t>
      </w:r>
      <w:r>
        <w:rPr>
          <w:rFonts w:ascii="Arial" w:hAnsi="Arial" w:cs="Times New Roman"/>
          <w:color w:val="auto"/>
          <w:sz w:val="20"/>
          <w:szCs w:val="20"/>
        </w:rPr>
        <w:t>is</w:t>
      </w:r>
      <w:r w:rsidRPr="004766FF">
        <w:rPr>
          <w:rFonts w:ascii="Arial" w:hAnsi="Arial" w:cs="Times New Roman"/>
          <w:color w:val="auto"/>
          <w:sz w:val="20"/>
          <w:szCs w:val="20"/>
        </w:rPr>
        <w:t xml:space="preserve"> apportioned to the COI facility owners based on the Dynamic Transfer Limits established </w:t>
      </w:r>
      <w:r>
        <w:rPr>
          <w:rFonts w:ascii="Arial" w:hAnsi="Arial" w:cs="Times New Roman"/>
          <w:color w:val="auto"/>
          <w:sz w:val="20"/>
          <w:szCs w:val="20"/>
        </w:rPr>
        <w:t>by the Path Operator</w:t>
      </w:r>
      <w:r w:rsidRPr="004766FF">
        <w:rPr>
          <w:rFonts w:ascii="Arial" w:hAnsi="Arial" w:cs="Times New Roman"/>
          <w:color w:val="auto"/>
          <w:sz w:val="20"/>
          <w:szCs w:val="20"/>
        </w:rPr>
        <w:t xml:space="preserve"> and in proportion to facility ownership share of the total transmission capacity. The amount of COI DTC apportioned to </w:t>
      </w:r>
      <w:r>
        <w:rPr>
          <w:rFonts w:ascii="Arial" w:hAnsi="Arial" w:cs="Times New Roman"/>
          <w:color w:val="auto"/>
          <w:sz w:val="20"/>
          <w:szCs w:val="20"/>
        </w:rPr>
        <w:t xml:space="preserve">PGE as one of </w:t>
      </w:r>
      <w:r w:rsidRPr="004766FF">
        <w:rPr>
          <w:rFonts w:ascii="Arial" w:hAnsi="Arial" w:cs="Times New Roman"/>
          <w:color w:val="auto"/>
          <w:sz w:val="20"/>
          <w:szCs w:val="20"/>
        </w:rPr>
        <w:t xml:space="preserve">the COI owners is based on </w:t>
      </w:r>
      <w:r>
        <w:rPr>
          <w:rFonts w:ascii="Arial" w:hAnsi="Arial" w:cs="Times New Roman"/>
          <w:color w:val="auto"/>
          <w:sz w:val="20"/>
          <w:szCs w:val="20"/>
        </w:rPr>
        <w:t xml:space="preserve">PGE’s </w:t>
      </w:r>
      <w:r w:rsidRPr="004766FF">
        <w:rPr>
          <w:rFonts w:ascii="Arial" w:hAnsi="Arial" w:cs="Times New Roman"/>
          <w:color w:val="auto"/>
          <w:sz w:val="20"/>
          <w:szCs w:val="20"/>
        </w:rPr>
        <w:t>respective southbound transmission rights</w:t>
      </w:r>
      <w:r>
        <w:rPr>
          <w:rFonts w:ascii="Arial" w:hAnsi="Arial" w:cs="Times New Roman"/>
          <w:color w:val="auto"/>
          <w:sz w:val="20"/>
          <w:szCs w:val="20"/>
        </w:rPr>
        <w:t>.</w:t>
      </w:r>
    </w:p>
    <w:p w:rsidR="00FC1F46" w:rsidRPr="004766FF" w:rsidRDefault="00FC1F46" w:rsidP="00FC1F46">
      <w:pPr>
        <w:pStyle w:val="Default"/>
        <w:ind w:left="720"/>
        <w:rPr>
          <w:rFonts w:ascii="Arial" w:hAnsi="Arial" w:cs="Times New Roman"/>
          <w:color w:val="auto"/>
          <w:sz w:val="20"/>
          <w:szCs w:val="20"/>
        </w:rPr>
      </w:pPr>
    </w:p>
    <w:p w:rsidR="00FC1F46" w:rsidRPr="00F25C1F" w:rsidRDefault="00FC1F46" w:rsidP="00FC1F46">
      <w:pPr>
        <w:pStyle w:val="Default"/>
        <w:numPr>
          <w:ilvl w:val="2"/>
          <w:numId w:val="22"/>
        </w:numPr>
        <w:rPr>
          <w:rFonts w:ascii="Arial" w:hAnsi="Arial" w:cs="Times New Roman"/>
          <w:color w:val="auto"/>
          <w:sz w:val="20"/>
          <w:szCs w:val="20"/>
        </w:rPr>
      </w:pPr>
      <w:r>
        <w:rPr>
          <w:rFonts w:ascii="Arial" w:hAnsi="Arial" w:cs="Times New Roman"/>
          <w:color w:val="auto"/>
          <w:sz w:val="20"/>
          <w:szCs w:val="20"/>
        </w:rPr>
        <w:t xml:space="preserve">Use of </w:t>
      </w:r>
      <w:r w:rsidRPr="00F25C1F">
        <w:rPr>
          <w:rFonts w:ascii="Arial" w:hAnsi="Arial" w:cs="Times New Roman"/>
          <w:color w:val="auto"/>
          <w:sz w:val="20"/>
          <w:szCs w:val="20"/>
        </w:rPr>
        <w:t xml:space="preserve">COI DTC </w:t>
      </w:r>
      <w:r>
        <w:rPr>
          <w:rFonts w:ascii="Arial" w:hAnsi="Arial" w:cs="Times New Roman"/>
          <w:color w:val="auto"/>
          <w:sz w:val="20"/>
          <w:szCs w:val="20"/>
        </w:rPr>
        <w:t xml:space="preserve">on </w:t>
      </w:r>
      <w:r w:rsidRPr="00F25C1F">
        <w:rPr>
          <w:rFonts w:ascii="Arial" w:hAnsi="Arial" w:cs="Times New Roman"/>
          <w:color w:val="auto"/>
          <w:sz w:val="20"/>
          <w:szCs w:val="20"/>
        </w:rPr>
        <w:t>PGE’s</w:t>
      </w:r>
      <w:r>
        <w:rPr>
          <w:rFonts w:ascii="Arial" w:hAnsi="Arial" w:cs="Times New Roman"/>
          <w:color w:val="auto"/>
          <w:sz w:val="20"/>
          <w:szCs w:val="20"/>
        </w:rPr>
        <w:t xml:space="preserve"> ownership share of the COI </w:t>
      </w:r>
      <w:r w:rsidRPr="00F25C1F">
        <w:rPr>
          <w:rFonts w:ascii="Arial" w:hAnsi="Arial" w:cs="Times New Roman"/>
          <w:color w:val="auto"/>
          <w:sz w:val="20"/>
          <w:szCs w:val="20"/>
        </w:rPr>
        <w:t>will be governed by PGE’s OATT and PGE</w:t>
      </w:r>
      <w:r>
        <w:rPr>
          <w:rFonts w:ascii="Arial" w:hAnsi="Arial" w:cs="Times New Roman"/>
          <w:color w:val="auto"/>
          <w:sz w:val="20"/>
          <w:szCs w:val="20"/>
        </w:rPr>
        <w:t>’s</w:t>
      </w:r>
      <w:r w:rsidRPr="00F25C1F">
        <w:rPr>
          <w:rFonts w:ascii="Arial" w:hAnsi="Arial" w:cs="Times New Roman"/>
          <w:color w:val="auto"/>
          <w:sz w:val="20"/>
          <w:szCs w:val="20"/>
        </w:rPr>
        <w:t xml:space="preserve"> business practices.</w:t>
      </w:r>
    </w:p>
    <w:p w:rsidR="00FC1F46" w:rsidRDefault="00FC1F46" w:rsidP="00FC1F46">
      <w:pPr>
        <w:pStyle w:val="Default"/>
        <w:rPr>
          <w:rFonts w:ascii="Arial" w:hAnsi="Arial" w:cs="Times New Roman"/>
          <w:color w:val="auto"/>
          <w:sz w:val="20"/>
          <w:szCs w:val="20"/>
        </w:rPr>
      </w:pPr>
    </w:p>
    <w:p w:rsidR="00FC1F46" w:rsidRDefault="00FC1F46" w:rsidP="00FC1F46">
      <w:pPr>
        <w:pStyle w:val="Default"/>
        <w:numPr>
          <w:ilvl w:val="2"/>
          <w:numId w:val="22"/>
        </w:numPr>
        <w:rPr>
          <w:rFonts w:ascii="Arial" w:hAnsi="Arial" w:cs="Times New Roman"/>
          <w:color w:val="auto"/>
          <w:sz w:val="20"/>
          <w:szCs w:val="20"/>
        </w:rPr>
      </w:pPr>
      <w:r w:rsidRPr="004766FF">
        <w:rPr>
          <w:rFonts w:ascii="Arial" w:hAnsi="Arial" w:cs="Times New Roman"/>
          <w:color w:val="auto"/>
          <w:sz w:val="20"/>
          <w:szCs w:val="20"/>
        </w:rPr>
        <w:t xml:space="preserve">If a COI facility owner does not allocate </w:t>
      </w:r>
      <w:r>
        <w:rPr>
          <w:rFonts w:ascii="Arial" w:hAnsi="Arial" w:cs="Times New Roman"/>
          <w:color w:val="auto"/>
          <w:sz w:val="20"/>
          <w:szCs w:val="20"/>
        </w:rPr>
        <w:t>its</w:t>
      </w:r>
      <w:r w:rsidRPr="004766FF">
        <w:rPr>
          <w:rFonts w:ascii="Arial" w:hAnsi="Arial" w:cs="Times New Roman"/>
          <w:color w:val="auto"/>
          <w:sz w:val="20"/>
          <w:szCs w:val="20"/>
        </w:rPr>
        <w:t xml:space="preserve"> full share of apportioned COI DTC to its customers, then any remaining COI DTC will be </w:t>
      </w:r>
      <w:r>
        <w:rPr>
          <w:rFonts w:ascii="Arial" w:hAnsi="Arial" w:cs="Times New Roman"/>
          <w:color w:val="auto"/>
          <w:sz w:val="20"/>
          <w:szCs w:val="20"/>
        </w:rPr>
        <w:t>re</w:t>
      </w:r>
      <w:r w:rsidRPr="004766FF">
        <w:rPr>
          <w:rFonts w:ascii="Arial" w:hAnsi="Arial" w:cs="Times New Roman"/>
          <w:color w:val="auto"/>
          <w:sz w:val="20"/>
          <w:szCs w:val="20"/>
        </w:rPr>
        <w:t>apportioned to the other COI facility owners based on their respective ownership interests.</w:t>
      </w:r>
    </w:p>
    <w:p w:rsidR="00655C78" w:rsidRDefault="00655C78" w:rsidP="00337928">
      <w:pPr>
        <w:pStyle w:val="Default"/>
        <w:rPr>
          <w:rFonts w:ascii="Arial" w:hAnsi="Arial" w:cs="Times New Roman"/>
          <w:color w:val="auto"/>
          <w:sz w:val="20"/>
          <w:szCs w:val="20"/>
        </w:rPr>
      </w:pPr>
    </w:p>
    <w:p w:rsidR="003273CC" w:rsidRPr="00CB43A8" w:rsidRDefault="003273CC" w:rsidP="00337928">
      <w:pPr>
        <w:pStyle w:val="Default"/>
        <w:rPr>
          <w:rFonts w:ascii="Arial" w:hAnsi="Arial" w:cs="Times New Roman"/>
          <w:color w:val="auto"/>
          <w:sz w:val="20"/>
          <w:szCs w:val="20"/>
        </w:rPr>
      </w:pPr>
    </w:p>
    <w:p w:rsidR="00655C78" w:rsidRPr="00337928" w:rsidRDefault="00655C78" w:rsidP="008C4905">
      <w:pPr>
        <w:numPr>
          <w:ilvl w:val="1"/>
          <w:numId w:val="22"/>
        </w:numPr>
        <w:jc w:val="both"/>
        <w:outlineLvl w:val="2"/>
        <w:rPr>
          <w:rFonts w:ascii="Arial" w:hAnsi="Arial"/>
          <w:b/>
          <w:u w:val="single"/>
        </w:rPr>
      </w:pPr>
      <w:r w:rsidRPr="00337928">
        <w:rPr>
          <w:rFonts w:ascii="Arial" w:hAnsi="Arial"/>
          <w:b/>
          <w:u w:val="single"/>
        </w:rPr>
        <w:t xml:space="preserve">Allocating COI DTC </w:t>
      </w:r>
    </w:p>
    <w:p w:rsidR="00337928" w:rsidRPr="00337928" w:rsidRDefault="00337928" w:rsidP="00337928">
      <w:pPr>
        <w:ind w:left="720"/>
        <w:rPr>
          <w:rFonts w:ascii="Arial" w:hAnsi="Arial"/>
          <w:b/>
        </w:rPr>
      </w:pPr>
    </w:p>
    <w:p w:rsidR="00FC1F46" w:rsidRPr="00337928" w:rsidRDefault="00FC1F46" w:rsidP="00FC1F46">
      <w:pPr>
        <w:pStyle w:val="ListParagraph"/>
        <w:numPr>
          <w:ilvl w:val="2"/>
          <w:numId w:val="22"/>
        </w:numPr>
        <w:rPr>
          <w:rFonts w:ascii="Arial" w:hAnsi="Arial"/>
          <w:b/>
        </w:rPr>
      </w:pPr>
      <w:r>
        <w:rPr>
          <w:rFonts w:ascii="Arial" w:hAnsi="Arial"/>
        </w:rPr>
        <w:t>The Path Operator</w:t>
      </w:r>
      <w:r w:rsidRPr="00655C78">
        <w:rPr>
          <w:rFonts w:ascii="Arial" w:hAnsi="Arial"/>
        </w:rPr>
        <w:t xml:space="preserve"> will </w:t>
      </w:r>
      <w:r>
        <w:rPr>
          <w:rFonts w:ascii="Arial" w:hAnsi="Arial"/>
        </w:rPr>
        <w:t>administer the allocation of</w:t>
      </w:r>
      <w:r w:rsidRPr="00655C78">
        <w:rPr>
          <w:rFonts w:ascii="Arial" w:hAnsi="Arial"/>
        </w:rPr>
        <w:t xml:space="preserve"> COI DTC</w:t>
      </w:r>
      <w:r>
        <w:rPr>
          <w:rFonts w:ascii="Arial" w:hAnsi="Arial"/>
        </w:rPr>
        <w:t xml:space="preserve">, for all owners and participants, </w:t>
      </w:r>
      <w:r w:rsidRPr="00655C78">
        <w:rPr>
          <w:rFonts w:ascii="Arial" w:hAnsi="Arial"/>
        </w:rPr>
        <w:t xml:space="preserve">according to the methodology described in </w:t>
      </w:r>
      <w:r w:rsidRPr="0045158D">
        <w:rPr>
          <w:rFonts w:ascii="Arial" w:hAnsi="Arial"/>
        </w:rPr>
        <w:t>Appendix A.</w:t>
      </w:r>
    </w:p>
    <w:p w:rsidR="00FC1F46" w:rsidRPr="00337928" w:rsidRDefault="00FC1F46" w:rsidP="00FC1F46">
      <w:pPr>
        <w:ind w:left="720"/>
        <w:rPr>
          <w:rFonts w:ascii="Arial" w:hAnsi="Arial"/>
          <w:b/>
        </w:rPr>
      </w:pPr>
    </w:p>
    <w:p w:rsidR="00FC1F46" w:rsidRDefault="00FC1F46" w:rsidP="00FC1F46">
      <w:pPr>
        <w:pStyle w:val="ListParagraph"/>
        <w:numPr>
          <w:ilvl w:val="2"/>
          <w:numId w:val="22"/>
        </w:numPr>
        <w:rPr>
          <w:rFonts w:ascii="Arial" w:hAnsi="Arial"/>
        </w:rPr>
      </w:pPr>
      <w:r w:rsidRPr="00655C78">
        <w:rPr>
          <w:rFonts w:ascii="Arial" w:hAnsi="Arial"/>
        </w:rPr>
        <w:t xml:space="preserve">Requests for COI DTC must comply with </w:t>
      </w:r>
      <w:r>
        <w:rPr>
          <w:rFonts w:ascii="Arial" w:hAnsi="Arial"/>
        </w:rPr>
        <w:t>this business practice</w:t>
      </w:r>
      <w:r w:rsidRPr="00655C78">
        <w:rPr>
          <w:rFonts w:ascii="Arial" w:hAnsi="Arial"/>
        </w:rPr>
        <w:t xml:space="preserve"> in order to </w:t>
      </w:r>
      <w:r>
        <w:rPr>
          <w:rFonts w:ascii="Arial" w:hAnsi="Arial"/>
        </w:rPr>
        <w:t>be considered for</w:t>
      </w:r>
      <w:r w:rsidRPr="00655C78">
        <w:rPr>
          <w:rFonts w:ascii="Arial" w:hAnsi="Arial"/>
        </w:rPr>
        <w:t xml:space="preserve"> an allocation.</w:t>
      </w:r>
    </w:p>
    <w:p w:rsidR="00655C78" w:rsidRPr="00655C78" w:rsidRDefault="00655C78" w:rsidP="00337928">
      <w:pPr>
        <w:ind w:left="720"/>
        <w:rPr>
          <w:rFonts w:ascii="Arial" w:hAnsi="Arial"/>
        </w:rPr>
      </w:pPr>
    </w:p>
    <w:p w:rsidR="00655C78" w:rsidRPr="009E4B89" w:rsidRDefault="00655C78" w:rsidP="008C4905">
      <w:pPr>
        <w:pStyle w:val="ListParagraph"/>
        <w:numPr>
          <w:ilvl w:val="1"/>
          <w:numId w:val="22"/>
        </w:numPr>
        <w:rPr>
          <w:rFonts w:ascii="Arial" w:hAnsi="Arial"/>
          <w:u w:val="single"/>
        </w:rPr>
      </w:pPr>
      <w:r w:rsidRPr="009E4B89">
        <w:rPr>
          <w:rFonts w:ascii="Arial" w:hAnsi="Arial"/>
          <w:b/>
          <w:u w:val="single"/>
        </w:rPr>
        <w:lastRenderedPageBreak/>
        <w:t>Scheduling Procedures for Dynamic Transfers using COI</w:t>
      </w:r>
    </w:p>
    <w:p w:rsidR="00337928" w:rsidRPr="00337928" w:rsidRDefault="00337928" w:rsidP="00337928">
      <w:pPr>
        <w:ind w:left="360"/>
        <w:rPr>
          <w:rFonts w:ascii="Arial" w:hAnsi="Arial"/>
        </w:rPr>
      </w:pPr>
    </w:p>
    <w:p w:rsidR="00FC1F46" w:rsidRDefault="00FC1F46" w:rsidP="00FC1F46">
      <w:pPr>
        <w:pStyle w:val="ListParagraph"/>
        <w:numPr>
          <w:ilvl w:val="2"/>
          <w:numId w:val="22"/>
        </w:numPr>
        <w:rPr>
          <w:rFonts w:ascii="Arial" w:hAnsi="Arial"/>
        </w:rPr>
      </w:pPr>
      <w:r w:rsidRPr="00655C78">
        <w:rPr>
          <w:rFonts w:ascii="Arial" w:hAnsi="Arial"/>
        </w:rPr>
        <w:t xml:space="preserve">Dynamic </w:t>
      </w:r>
      <w:r w:rsidRPr="000C6A3C">
        <w:rPr>
          <w:rFonts w:ascii="Arial" w:hAnsi="Arial"/>
        </w:rPr>
        <w:t>Transfer Entities who have a completed Registration for Dynamic Transfer Capability on the COI form (Attachment 1), that</w:t>
      </w:r>
      <w:r w:rsidRPr="00655C78">
        <w:rPr>
          <w:rFonts w:ascii="Arial" w:hAnsi="Arial"/>
        </w:rPr>
        <w:t xml:space="preserve"> want to use their firm </w:t>
      </w:r>
      <w:r>
        <w:rPr>
          <w:rFonts w:ascii="Arial" w:hAnsi="Arial"/>
        </w:rPr>
        <w:t>r</w:t>
      </w:r>
      <w:r w:rsidRPr="00655C78">
        <w:rPr>
          <w:rFonts w:ascii="Arial" w:hAnsi="Arial"/>
        </w:rPr>
        <w:t xml:space="preserve">eserved </w:t>
      </w:r>
      <w:r>
        <w:rPr>
          <w:rFonts w:ascii="Arial" w:hAnsi="Arial"/>
        </w:rPr>
        <w:t>c</w:t>
      </w:r>
      <w:r w:rsidRPr="00655C78">
        <w:rPr>
          <w:rFonts w:ascii="Arial" w:hAnsi="Arial"/>
        </w:rPr>
        <w:t>apacity for a Dynamic Transfer over the COI must follow the procedures described below:</w:t>
      </w:r>
    </w:p>
    <w:p w:rsidR="00FC1F46" w:rsidRPr="00337928" w:rsidRDefault="00FC1F46" w:rsidP="00FC1F46">
      <w:pPr>
        <w:ind w:left="720"/>
        <w:rPr>
          <w:rFonts w:ascii="Arial" w:hAnsi="Arial"/>
        </w:rPr>
      </w:pPr>
    </w:p>
    <w:p w:rsidR="00FC1F46" w:rsidRDefault="00FC1F46" w:rsidP="00FC1F46">
      <w:pPr>
        <w:pStyle w:val="ListParagraph"/>
        <w:numPr>
          <w:ilvl w:val="3"/>
          <w:numId w:val="22"/>
        </w:numPr>
        <w:ind w:left="1800" w:hanging="720"/>
        <w:rPr>
          <w:rFonts w:ascii="Arial" w:hAnsi="Arial"/>
        </w:rPr>
      </w:pPr>
      <w:r w:rsidRPr="00655C78">
        <w:rPr>
          <w:rFonts w:ascii="Arial" w:hAnsi="Arial"/>
        </w:rPr>
        <w:t xml:space="preserve">The Dynamic Transfer Entity must submit a request for a Dynamic </w:t>
      </w:r>
      <w:r>
        <w:rPr>
          <w:rFonts w:ascii="Arial" w:hAnsi="Arial"/>
        </w:rPr>
        <w:t>Request for Interchange (“</w:t>
      </w:r>
      <w:r w:rsidRPr="00655C78">
        <w:rPr>
          <w:rFonts w:ascii="Arial" w:hAnsi="Arial"/>
        </w:rPr>
        <w:t>e-Tag</w:t>
      </w:r>
      <w:r>
        <w:rPr>
          <w:rFonts w:ascii="Arial" w:hAnsi="Arial"/>
        </w:rPr>
        <w:t>”)</w:t>
      </w:r>
      <w:r w:rsidRPr="00655C78">
        <w:rPr>
          <w:rFonts w:ascii="Arial" w:hAnsi="Arial"/>
        </w:rPr>
        <w:t xml:space="preserve"> for hour</w:t>
      </w:r>
      <w:r>
        <w:rPr>
          <w:rFonts w:ascii="Arial" w:hAnsi="Arial"/>
        </w:rPr>
        <w:t>s</w:t>
      </w:r>
      <w:r w:rsidRPr="00655C78">
        <w:rPr>
          <w:rFonts w:ascii="Arial" w:hAnsi="Arial"/>
        </w:rPr>
        <w:t xml:space="preserve"> covered by the WECC Preschedule day</w:t>
      </w:r>
      <w:r>
        <w:rPr>
          <w:rFonts w:ascii="Arial" w:hAnsi="Arial"/>
        </w:rPr>
        <w:t>(s)</w:t>
      </w:r>
      <w:r w:rsidRPr="00655C78">
        <w:rPr>
          <w:rFonts w:ascii="Arial" w:hAnsi="Arial"/>
        </w:rPr>
        <w:t xml:space="preserve"> before 08:00.00 PPT of the WECC Preschedule day</w:t>
      </w:r>
      <w:r>
        <w:rPr>
          <w:rFonts w:ascii="Arial" w:hAnsi="Arial"/>
        </w:rPr>
        <w:t xml:space="preserve"> </w:t>
      </w:r>
      <w:r w:rsidRPr="00655C78">
        <w:rPr>
          <w:rFonts w:ascii="Arial" w:hAnsi="Arial"/>
        </w:rPr>
        <w:t>from eligible Dynamic Transfer Entities whose Dynamic e-Tag is in a Confirmed state.</w:t>
      </w:r>
    </w:p>
    <w:p w:rsidR="00FC1F46" w:rsidRPr="00337928" w:rsidRDefault="00FC1F46" w:rsidP="00FC1F46">
      <w:pPr>
        <w:ind w:left="1080"/>
        <w:rPr>
          <w:rFonts w:ascii="Arial" w:hAnsi="Arial"/>
        </w:rPr>
      </w:pPr>
    </w:p>
    <w:p w:rsidR="00FC1F46" w:rsidRDefault="00FC1F46" w:rsidP="00FC1F46">
      <w:pPr>
        <w:pStyle w:val="ListParagraph"/>
        <w:numPr>
          <w:ilvl w:val="4"/>
          <w:numId w:val="22"/>
        </w:numPr>
        <w:ind w:left="2520" w:hanging="1080"/>
        <w:rPr>
          <w:rFonts w:ascii="Arial" w:hAnsi="Arial"/>
        </w:rPr>
      </w:pPr>
      <w:r w:rsidRPr="00655C78">
        <w:rPr>
          <w:rFonts w:ascii="Arial" w:hAnsi="Arial"/>
        </w:rPr>
        <w:t>The Dynamic Schedule must include two tokens in the “MISC” field to receive an allocation.</w:t>
      </w:r>
    </w:p>
    <w:p w:rsidR="00FC1F46" w:rsidRPr="00337928" w:rsidRDefault="00FC1F46" w:rsidP="00FC1F46">
      <w:pPr>
        <w:ind w:left="1440"/>
        <w:rPr>
          <w:rFonts w:ascii="Arial" w:hAnsi="Arial"/>
        </w:rPr>
      </w:pPr>
    </w:p>
    <w:p w:rsidR="00FC1F46" w:rsidRDefault="00FC1F46" w:rsidP="00FC1F46">
      <w:pPr>
        <w:pStyle w:val="ListParagraph"/>
        <w:numPr>
          <w:ilvl w:val="5"/>
          <w:numId w:val="22"/>
        </w:numPr>
        <w:rPr>
          <w:rFonts w:ascii="Arial" w:hAnsi="Arial"/>
        </w:rPr>
      </w:pPr>
      <w:r w:rsidRPr="00655C78">
        <w:rPr>
          <w:rFonts w:ascii="Arial" w:hAnsi="Arial"/>
        </w:rPr>
        <w:t>“</w:t>
      </w:r>
      <w:r w:rsidRPr="00F94CDC">
        <w:rPr>
          <w:rFonts w:ascii="Arial" w:hAnsi="Arial"/>
        </w:rPr>
        <w:t>PGE</w:t>
      </w:r>
      <w:r w:rsidRPr="00655C78">
        <w:rPr>
          <w:rFonts w:ascii="Arial" w:hAnsi="Arial"/>
        </w:rPr>
        <w:t xml:space="preserve">”, as the </w:t>
      </w:r>
      <w:r>
        <w:rPr>
          <w:rFonts w:ascii="Arial" w:hAnsi="Arial"/>
        </w:rPr>
        <w:t>DTC</w:t>
      </w:r>
      <w:r w:rsidRPr="00655C78">
        <w:rPr>
          <w:rFonts w:ascii="Arial" w:hAnsi="Arial"/>
        </w:rPr>
        <w:t xml:space="preserve"> Provider</w:t>
      </w:r>
      <w:r>
        <w:rPr>
          <w:rFonts w:ascii="Arial" w:hAnsi="Arial"/>
        </w:rPr>
        <w:t>.</w:t>
      </w:r>
    </w:p>
    <w:p w:rsidR="00FC1F46" w:rsidRPr="00337928" w:rsidRDefault="00FC1F46" w:rsidP="00FC1F46">
      <w:pPr>
        <w:ind w:left="1800"/>
        <w:rPr>
          <w:rFonts w:ascii="Arial" w:hAnsi="Arial"/>
        </w:rPr>
      </w:pPr>
    </w:p>
    <w:p w:rsidR="00FC1F46" w:rsidRDefault="00FC1F46" w:rsidP="00FC1F46">
      <w:pPr>
        <w:pStyle w:val="ListParagraph"/>
        <w:numPr>
          <w:ilvl w:val="5"/>
          <w:numId w:val="22"/>
        </w:numPr>
        <w:ind w:left="2880" w:hanging="1080"/>
        <w:rPr>
          <w:rFonts w:ascii="Arial" w:hAnsi="Arial"/>
        </w:rPr>
      </w:pPr>
      <w:r w:rsidRPr="00F94CDC">
        <w:rPr>
          <w:rFonts w:ascii="Arial" w:hAnsi="Arial"/>
        </w:rPr>
        <w:t>“DTC Requestor”,</w:t>
      </w:r>
      <w:r w:rsidRPr="00655C78">
        <w:rPr>
          <w:rFonts w:ascii="Arial" w:hAnsi="Arial"/>
        </w:rPr>
        <w:t xml:space="preserve"> being the Purchasing Selling Entity Code of the Dynamic Transfer Entity requesting DTC</w:t>
      </w:r>
      <w:r>
        <w:rPr>
          <w:rFonts w:ascii="Arial" w:hAnsi="Arial"/>
        </w:rPr>
        <w:t>.</w:t>
      </w:r>
    </w:p>
    <w:p w:rsidR="00FC1F46" w:rsidRPr="00337928" w:rsidRDefault="00FC1F46" w:rsidP="00FC1F46">
      <w:pPr>
        <w:rPr>
          <w:rFonts w:ascii="Arial" w:hAnsi="Arial"/>
        </w:rPr>
      </w:pPr>
    </w:p>
    <w:p w:rsidR="00FC1F46" w:rsidRDefault="00FC1F46" w:rsidP="00FC1F46">
      <w:pPr>
        <w:pStyle w:val="ListParagraph"/>
        <w:numPr>
          <w:ilvl w:val="3"/>
          <w:numId w:val="22"/>
        </w:numPr>
        <w:ind w:left="1800" w:hanging="720"/>
        <w:rPr>
          <w:rFonts w:ascii="Arial" w:hAnsi="Arial"/>
        </w:rPr>
      </w:pPr>
      <w:r w:rsidRPr="00655C78">
        <w:rPr>
          <w:rFonts w:ascii="Arial" w:hAnsi="Arial"/>
        </w:rPr>
        <w:t>BPA will perform the allocation described in Appendix A in Preschedule by 10:00:00 PPT of the WECC Preschedule day above for Dynamic Schedules.</w:t>
      </w:r>
    </w:p>
    <w:p w:rsidR="00FC1F46" w:rsidRPr="00337928" w:rsidRDefault="00FC1F46" w:rsidP="00FC1F46">
      <w:pPr>
        <w:ind w:left="1080"/>
        <w:rPr>
          <w:rFonts w:ascii="Arial" w:hAnsi="Arial"/>
        </w:rPr>
      </w:pPr>
    </w:p>
    <w:p w:rsidR="00FC1F46" w:rsidRDefault="00FC1F46" w:rsidP="00FC1F46">
      <w:pPr>
        <w:pStyle w:val="ListParagraph"/>
        <w:numPr>
          <w:ilvl w:val="3"/>
          <w:numId w:val="22"/>
        </w:numPr>
        <w:ind w:left="1800" w:hanging="720"/>
        <w:rPr>
          <w:rFonts w:ascii="Arial" w:hAnsi="Arial"/>
        </w:rPr>
      </w:pPr>
      <w:r w:rsidRPr="00655C78">
        <w:rPr>
          <w:rFonts w:ascii="Arial" w:hAnsi="Arial"/>
        </w:rPr>
        <w:t xml:space="preserve">The amount of Dynamic Transfer </w:t>
      </w:r>
      <w:r>
        <w:rPr>
          <w:rFonts w:ascii="Arial" w:hAnsi="Arial"/>
        </w:rPr>
        <w:t>Capability</w:t>
      </w:r>
      <w:r w:rsidRPr="00655C78">
        <w:rPr>
          <w:rFonts w:ascii="Arial" w:hAnsi="Arial"/>
        </w:rPr>
        <w:t xml:space="preserve"> requested must be entered for each hour or the requested amount will be assumed zero, and the Dynamic Transfer Entity will have no allocation for that hour.</w:t>
      </w:r>
    </w:p>
    <w:p w:rsidR="00337928" w:rsidRPr="00337928" w:rsidRDefault="00337928" w:rsidP="00337928">
      <w:pPr>
        <w:rPr>
          <w:rFonts w:ascii="Arial" w:hAnsi="Arial"/>
        </w:rPr>
      </w:pPr>
    </w:p>
    <w:p w:rsidR="00FC1F46" w:rsidRDefault="00FC1F46" w:rsidP="00FC1F46">
      <w:pPr>
        <w:pStyle w:val="ListParagraph"/>
        <w:numPr>
          <w:ilvl w:val="3"/>
          <w:numId w:val="22"/>
        </w:numPr>
        <w:ind w:left="1800" w:hanging="720"/>
        <w:rPr>
          <w:rFonts w:ascii="Arial" w:hAnsi="Arial"/>
        </w:rPr>
      </w:pPr>
      <w:r w:rsidRPr="00655C78">
        <w:rPr>
          <w:rFonts w:ascii="Arial" w:hAnsi="Arial"/>
        </w:rPr>
        <w:t xml:space="preserve">The maximum Dynamic Transfer </w:t>
      </w:r>
      <w:r>
        <w:rPr>
          <w:rFonts w:ascii="Arial" w:hAnsi="Arial"/>
        </w:rPr>
        <w:t>Capability</w:t>
      </w:r>
      <w:r w:rsidRPr="00655C78">
        <w:rPr>
          <w:rFonts w:ascii="Arial" w:hAnsi="Arial"/>
        </w:rPr>
        <w:t xml:space="preserve"> that a Dynamic Transfer Entity can request is limited to the lesser of:</w:t>
      </w:r>
    </w:p>
    <w:p w:rsidR="00FC1F46" w:rsidRPr="0063044F" w:rsidRDefault="00FC1F46" w:rsidP="00FC1F46">
      <w:pPr>
        <w:rPr>
          <w:rFonts w:ascii="Arial" w:hAnsi="Arial"/>
        </w:rPr>
      </w:pPr>
    </w:p>
    <w:p w:rsidR="00FC1F46" w:rsidRDefault="00FC1F46" w:rsidP="00FC1F46">
      <w:pPr>
        <w:pStyle w:val="ListParagraph"/>
        <w:numPr>
          <w:ilvl w:val="4"/>
          <w:numId w:val="22"/>
        </w:numPr>
        <w:ind w:left="2520" w:hanging="1080"/>
        <w:rPr>
          <w:rFonts w:ascii="Arial" w:hAnsi="Arial"/>
        </w:rPr>
      </w:pPr>
      <w:r w:rsidRPr="00770E27">
        <w:rPr>
          <w:rFonts w:ascii="Arial" w:hAnsi="Arial"/>
        </w:rPr>
        <w:t>the capacity available for Dynamic Transfers on other paths that must also be crossed; or</w:t>
      </w:r>
    </w:p>
    <w:p w:rsidR="00FC1F46" w:rsidRPr="00337928" w:rsidRDefault="00FC1F46" w:rsidP="00FC1F46">
      <w:pPr>
        <w:ind w:left="1440"/>
        <w:rPr>
          <w:rFonts w:ascii="Arial" w:hAnsi="Arial"/>
        </w:rPr>
      </w:pPr>
    </w:p>
    <w:p w:rsidR="00FC1F46" w:rsidRDefault="00FC1F46" w:rsidP="00FC1F46">
      <w:pPr>
        <w:pStyle w:val="ListParagraph"/>
        <w:numPr>
          <w:ilvl w:val="4"/>
          <w:numId w:val="22"/>
        </w:numPr>
        <w:ind w:left="2520" w:hanging="1080"/>
        <w:rPr>
          <w:rFonts w:ascii="Arial" w:hAnsi="Arial"/>
        </w:rPr>
      </w:pPr>
      <w:r w:rsidRPr="00770E27">
        <w:rPr>
          <w:rFonts w:ascii="Arial" w:hAnsi="Arial"/>
        </w:rPr>
        <w:t>the total Dynamic Transfer scheduling capability described in</w:t>
      </w:r>
      <w:r>
        <w:rPr>
          <w:rFonts w:ascii="Arial" w:hAnsi="Arial"/>
        </w:rPr>
        <w:t xml:space="preserve"> 4.7.8</w:t>
      </w:r>
      <w:r w:rsidRPr="00770E27">
        <w:rPr>
          <w:rFonts w:ascii="Arial" w:hAnsi="Arial"/>
        </w:rPr>
        <w:t>; or</w:t>
      </w:r>
    </w:p>
    <w:p w:rsidR="00FC1F46" w:rsidRPr="00337928" w:rsidRDefault="00FC1F46" w:rsidP="00FC1F46">
      <w:pPr>
        <w:rPr>
          <w:rFonts w:ascii="Arial" w:hAnsi="Arial"/>
        </w:rPr>
      </w:pPr>
    </w:p>
    <w:p w:rsidR="00FC1F46" w:rsidRDefault="00FC1F46" w:rsidP="00FC1F46">
      <w:pPr>
        <w:pStyle w:val="ListParagraph"/>
        <w:numPr>
          <w:ilvl w:val="4"/>
          <w:numId w:val="22"/>
        </w:numPr>
        <w:rPr>
          <w:rFonts w:ascii="Arial" w:hAnsi="Arial"/>
        </w:rPr>
      </w:pPr>
      <w:proofErr w:type="gramStart"/>
      <w:r w:rsidRPr="00770E27">
        <w:rPr>
          <w:rFonts w:ascii="Arial" w:hAnsi="Arial"/>
        </w:rPr>
        <w:t>other</w:t>
      </w:r>
      <w:proofErr w:type="gramEnd"/>
      <w:r w:rsidRPr="00770E27">
        <w:rPr>
          <w:rFonts w:ascii="Arial" w:hAnsi="Arial"/>
        </w:rPr>
        <w:t xml:space="preserve"> factors limiting Dynamic Transfers.</w:t>
      </w:r>
    </w:p>
    <w:p w:rsidR="00FC1F46" w:rsidRPr="00337928" w:rsidRDefault="00FC1F46" w:rsidP="00FC1F46">
      <w:pPr>
        <w:rPr>
          <w:rFonts w:ascii="Arial" w:hAnsi="Arial"/>
        </w:rPr>
      </w:pPr>
    </w:p>
    <w:p w:rsidR="00FC1F46" w:rsidRDefault="00FC1F46" w:rsidP="00FC1F46">
      <w:pPr>
        <w:pStyle w:val="ListParagraph"/>
        <w:numPr>
          <w:ilvl w:val="3"/>
          <w:numId w:val="22"/>
        </w:numPr>
        <w:ind w:left="1800" w:hanging="720"/>
        <w:rPr>
          <w:rFonts w:ascii="Arial" w:hAnsi="Arial"/>
        </w:rPr>
      </w:pPr>
      <w:r w:rsidRPr="00770E27">
        <w:rPr>
          <w:rFonts w:ascii="Arial" w:hAnsi="Arial"/>
        </w:rPr>
        <w:t xml:space="preserve">The Dynamic Transfer Entity will then modify the Transmission Profile in its </w:t>
      </w:r>
      <w:proofErr w:type="gramStart"/>
      <w:r w:rsidRPr="00770E27">
        <w:rPr>
          <w:rFonts w:ascii="Arial" w:hAnsi="Arial"/>
        </w:rPr>
        <w:t>Dynamic</w:t>
      </w:r>
      <w:proofErr w:type="gramEnd"/>
      <w:r w:rsidRPr="00770E27">
        <w:rPr>
          <w:rFonts w:ascii="Arial" w:hAnsi="Arial"/>
        </w:rPr>
        <w:t xml:space="preserve"> e-tag to be equal to or less than its Dynamic Transfer </w:t>
      </w:r>
      <w:r>
        <w:rPr>
          <w:rFonts w:ascii="Arial" w:hAnsi="Arial"/>
        </w:rPr>
        <w:t>Capability</w:t>
      </w:r>
      <w:r w:rsidRPr="00770E27">
        <w:rPr>
          <w:rFonts w:ascii="Arial" w:hAnsi="Arial"/>
        </w:rPr>
        <w:t xml:space="preserve"> allocation by 1500 of the WECC Preschedule day.</w:t>
      </w:r>
    </w:p>
    <w:p w:rsidR="00FC1F46" w:rsidRPr="00337928" w:rsidRDefault="00FC1F46" w:rsidP="00FC1F46">
      <w:pPr>
        <w:rPr>
          <w:rFonts w:ascii="Arial" w:hAnsi="Arial"/>
        </w:rPr>
      </w:pPr>
    </w:p>
    <w:p w:rsidR="00FC1F46" w:rsidRDefault="00FC1F46" w:rsidP="00FC1F46">
      <w:pPr>
        <w:pStyle w:val="ListParagraph"/>
        <w:numPr>
          <w:ilvl w:val="3"/>
          <w:numId w:val="22"/>
        </w:numPr>
        <w:ind w:left="1800" w:hanging="720"/>
        <w:rPr>
          <w:rFonts w:ascii="Arial" w:hAnsi="Arial"/>
        </w:rPr>
      </w:pPr>
      <w:r w:rsidRPr="00770E27">
        <w:rPr>
          <w:rFonts w:ascii="Arial" w:hAnsi="Arial"/>
        </w:rPr>
        <w:t>The Dynamic Transfer Entity can decrease its Dynamic e-Tag as needed up to twenty minutes prior to the hour of delivery.</w:t>
      </w:r>
    </w:p>
    <w:p w:rsidR="00FC1F46" w:rsidRPr="00337928" w:rsidRDefault="00FC1F46" w:rsidP="00FC1F46">
      <w:pPr>
        <w:rPr>
          <w:rFonts w:ascii="Arial" w:hAnsi="Arial"/>
        </w:rPr>
      </w:pPr>
    </w:p>
    <w:p w:rsidR="00FC1F46" w:rsidRDefault="00FC1F46" w:rsidP="00FC1F46">
      <w:pPr>
        <w:pStyle w:val="ListParagraph"/>
        <w:numPr>
          <w:ilvl w:val="3"/>
          <w:numId w:val="22"/>
        </w:numPr>
        <w:ind w:left="1800" w:hanging="720"/>
        <w:rPr>
          <w:rFonts w:ascii="Arial" w:hAnsi="Arial"/>
        </w:rPr>
      </w:pPr>
      <w:r w:rsidRPr="00770E27">
        <w:rPr>
          <w:rFonts w:ascii="Arial" w:hAnsi="Arial"/>
        </w:rPr>
        <w:t xml:space="preserve">The Dynamic e-Tag should represent the Dynamic Transfer </w:t>
      </w:r>
      <w:r>
        <w:rPr>
          <w:rFonts w:ascii="Arial" w:hAnsi="Arial"/>
        </w:rPr>
        <w:t>Capability</w:t>
      </w:r>
      <w:r w:rsidRPr="00770E27">
        <w:rPr>
          <w:rFonts w:ascii="Arial" w:hAnsi="Arial"/>
        </w:rPr>
        <w:t xml:space="preserve"> needed to meet the Dynamic Transfer Entity’s obligation in the CAISO market or other COI transaction as represented by valid e-Tags.</w:t>
      </w:r>
    </w:p>
    <w:p w:rsidR="00337928" w:rsidRDefault="00337928" w:rsidP="00337928">
      <w:pPr>
        <w:rPr>
          <w:rFonts w:ascii="Arial" w:hAnsi="Arial"/>
        </w:rPr>
      </w:pPr>
    </w:p>
    <w:p w:rsidR="003273CC" w:rsidRPr="00337928" w:rsidRDefault="003273CC" w:rsidP="00337928">
      <w:pPr>
        <w:rPr>
          <w:rFonts w:ascii="Arial" w:hAnsi="Arial"/>
        </w:rPr>
      </w:pPr>
    </w:p>
    <w:p w:rsidR="00770E27" w:rsidRPr="009E4B89" w:rsidRDefault="00770E27" w:rsidP="008C4905">
      <w:pPr>
        <w:pStyle w:val="ListParagraph"/>
        <w:numPr>
          <w:ilvl w:val="1"/>
          <w:numId w:val="22"/>
        </w:numPr>
        <w:rPr>
          <w:rFonts w:ascii="Arial" w:hAnsi="Arial"/>
          <w:b/>
          <w:u w:val="single"/>
        </w:rPr>
      </w:pPr>
      <w:r w:rsidRPr="009E4B89">
        <w:rPr>
          <w:rFonts w:ascii="Arial" w:hAnsi="Arial"/>
          <w:b/>
          <w:u w:val="single"/>
        </w:rPr>
        <w:t>Limitations on Dynamic Transfer</w:t>
      </w:r>
    </w:p>
    <w:p w:rsidR="00821ED8" w:rsidRPr="00770E27" w:rsidRDefault="00821ED8" w:rsidP="00821ED8">
      <w:pPr>
        <w:pStyle w:val="ListParagraph"/>
        <w:ind w:left="792"/>
        <w:rPr>
          <w:rFonts w:ascii="Arial" w:hAnsi="Arial"/>
          <w:b/>
        </w:rPr>
      </w:pPr>
    </w:p>
    <w:p w:rsidR="00FC1F46" w:rsidRDefault="00FC1F46" w:rsidP="00FC1F46">
      <w:pPr>
        <w:pStyle w:val="ListParagraph"/>
        <w:numPr>
          <w:ilvl w:val="2"/>
          <w:numId w:val="22"/>
        </w:numPr>
        <w:rPr>
          <w:rFonts w:ascii="Arial" w:hAnsi="Arial"/>
        </w:rPr>
      </w:pPr>
      <w:r w:rsidRPr="00770E27">
        <w:rPr>
          <w:rFonts w:ascii="Arial" w:hAnsi="Arial"/>
        </w:rPr>
        <w:t>A Dynamic</w:t>
      </w:r>
      <w:r>
        <w:rPr>
          <w:rFonts w:ascii="Arial" w:hAnsi="Arial"/>
        </w:rPr>
        <w:t>ally s</w:t>
      </w:r>
      <w:r w:rsidRPr="00770E27">
        <w:rPr>
          <w:rFonts w:ascii="Arial" w:hAnsi="Arial"/>
        </w:rPr>
        <w:t>chedule</w:t>
      </w:r>
      <w:r>
        <w:rPr>
          <w:rFonts w:ascii="Arial" w:hAnsi="Arial"/>
        </w:rPr>
        <w:t>d resource</w:t>
      </w:r>
      <w:r w:rsidRPr="00770E27">
        <w:rPr>
          <w:rFonts w:ascii="Arial" w:hAnsi="Arial"/>
        </w:rPr>
        <w:t xml:space="preserve"> will be allowed to move </w:t>
      </w:r>
      <w:r>
        <w:rPr>
          <w:rFonts w:ascii="Arial" w:hAnsi="Arial"/>
        </w:rPr>
        <w:t>up to lesser of its Transmission Profile or its DTC Allocation according to Appendix A</w:t>
      </w:r>
      <w:r w:rsidRPr="00770E27">
        <w:rPr>
          <w:rFonts w:ascii="Arial" w:hAnsi="Arial"/>
        </w:rPr>
        <w:t xml:space="preserve"> the </w:t>
      </w:r>
      <w:r w:rsidRPr="00770E27">
        <w:rPr>
          <w:rFonts w:ascii="Arial" w:hAnsi="Arial"/>
        </w:rPr>
        <w:lastRenderedPageBreak/>
        <w:t>determined maximum allowed MW for a Dynamic Transfer within the Operating Hour in one direction over the path.</w:t>
      </w:r>
      <w:r>
        <w:rPr>
          <w:rFonts w:ascii="Arial" w:hAnsi="Arial"/>
        </w:rPr>
        <w:t xml:space="preserve">  </w:t>
      </w:r>
    </w:p>
    <w:p w:rsidR="00821ED8" w:rsidRDefault="00821ED8" w:rsidP="00821ED8">
      <w:pPr>
        <w:pStyle w:val="ListParagraph"/>
        <w:ind w:left="1224"/>
        <w:rPr>
          <w:rFonts w:ascii="Arial" w:hAnsi="Arial"/>
        </w:rPr>
      </w:pPr>
    </w:p>
    <w:p w:rsidR="00FC1F46" w:rsidRDefault="00FC1F46" w:rsidP="00FC1F46">
      <w:pPr>
        <w:pStyle w:val="ListParagraph"/>
        <w:numPr>
          <w:ilvl w:val="2"/>
          <w:numId w:val="22"/>
        </w:numPr>
        <w:rPr>
          <w:rFonts w:ascii="Arial" w:hAnsi="Arial"/>
        </w:rPr>
      </w:pPr>
      <w:r w:rsidRPr="00770E27">
        <w:rPr>
          <w:rFonts w:ascii="Arial" w:hAnsi="Arial"/>
        </w:rPr>
        <w:t>The Transmission Profile shall not be exceeded during the hour of flow. This applies to Dynamic Schedules.</w:t>
      </w:r>
    </w:p>
    <w:p w:rsidR="00FC1F46" w:rsidRPr="00821ED8" w:rsidRDefault="00FC1F46" w:rsidP="00FC1F46">
      <w:pPr>
        <w:rPr>
          <w:rFonts w:ascii="Arial" w:hAnsi="Arial"/>
        </w:rPr>
      </w:pPr>
    </w:p>
    <w:p w:rsidR="00FC1F46" w:rsidRDefault="00FC1F46" w:rsidP="00FC1F46">
      <w:pPr>
        <w:pStyle w:val="ListParagraph"/>
        <w:numPr>
          <w:ilvl w:val="2"/>
          <w:numId w:val="22"/>
        </w:numPr>
        <w:rPr>
          <w:rFonts w:ascii="Arial" w:hAnsi="Arial"/>
        </w:rPr>
      </w:pPr>
      <w:r w:rsidRPr="00770E27">
        <w:rPr>
          <w:rFonts w:ascii="Arial" w:hAnsi="Arial"/>
        </w:rPr>
        <w:t xml:space="preserve">Examples of when </w:t>
      </w:r>
      <w:r>
        <w:rPr>
          <w:rFonts w:ascii="Arial" w:hAnsi="Arial"/>
        </w:rPr>
        <w:t xml:space="preserve">the Path Operator </w:t>
      </w:r>
      <w:r w:rsidRPr="00770E27">
        <w:rPr>
          <w:rFonts w:ascii="Arial" w:hAnsi="Arial"/>
        </w:rPr>
        <w:t xml:space="preserve">may take action to limit or freeze a Dynamic Transfer include, but </w:t>
      </w:r>
      <w:r>
        <w:rPr>
          <w:rFonts w:ascii="Arial" w:hAnsi="Arial"/>
        </w:rPr>
        <w:t xml:space="preserve">are </w:t>
      </w:r>
      <w:r w:rsidRPr="00770E27">
        <w:rPr>
          <w:rFonts w:ascii="Arial" w:hAnsi="Arial"/>
        </w:rPr>
        <w:t>not limited to:</w:t>
      </w:r>
    </w:p>
    <w:p w:rsidR="00FC1F46" w:rsidRPr="00821ED8" w:rsidRDefault="00FC1F46" w:rsidP="00FC1F46">
      <w:pPr>
        <w:rPr>
          <w:rFonts w:ascii="Arial" w:hAnsi="Arial"/>
        </w:rPr>
      </w:pPr>
    </w:p>
    <w:p w:rsidR="00FC1F46" w:rsidRDefault="00FC1F46" w:rsidP="00FC1F46">
      <w:pPr>
        <w:pStyle w:val="ListParagraph"/>
        <w:numPr>
          <w:ilvl w:val="3"/>
          <w:numId w:val="22"/>
        </w:numPr>
        <w:rPr>
          <w:rFonts w:ascii="Arial" w:hAnsi="Arial"/>
        </w:rPr>
      </w:pPr>
      <w:r w:rsidRPr="00770E27">
        <w:rPr>
          <w:rFonts w:ascii="Arial" w:hAnsi="Arial"/>
        </w:rPr>
        <w:t>staying within acceptable limits during real-time operations;</w:t>
      </w:r>
    </w:p>
    <w:p w:rsidR="00FC1F46" w:rsidRPr="00821ED8" w:rsidRDefault="00FC1F46" w:rsidP="00FC1F46">
      <w:pPr>
        <w:ind w:left="1080"/>
        <w:rPr>
          <w:rFonts w:ascii="Arial" w:hAnsi="Arial"/>
        </w:rPr>
      </w:pPr>
    </w:p>
    <w:p w:rsidR="00FC1F46" w:rsidRDefault="00FC1F46" w:rsidP="00FC1F46">
      <w:pPr>
        <w:pStyle w:val="ListParagraph"/>
        <w:numPr>
          <w:ilvl w:val="3"/>
          <w:numId w:val="22"/>
        </w:numPr>
        <w:rPr>
          <w:rFonts w:ascii="Arial" w:hAnsi="Arial"/>
        </w:rPr>
      </w:pPr>
      <w:r w:rsidRPr="00770E27">
        <w:rPr>
          <w:rFonts w:ascii="Arial" w:hAnsi="Arial"/>
        </w:rPr>
        <w:t>performing acceptably after contingencies; and</w:t>
      </w:r>
    </w:p>
    <w:p w:rsidR="00FC1F46" w:rsidRPr="00821ED8" w:rsidRDefault="00FC1F46" w:rsidP="00FC1F46">
      <w:pPr>
        <w:rPr>
          <w:rFonts w:ascii="Arial" w:hAnsi="Arial"/>
        </w:rPr>
      </w:pPr>
    </w:p>
    <w:p w:rsidR="00FC1F46" w:rsidRDefault="00FC1F46" w:rsidP="00FC1F46">
      <w:pPr>
        <w:pStyle w:val="ListParagraph"/>
        <w:numPr>
          <w:ilvl w:val="3"/>
          <w:numId w:val="22"/>
        </w:numPr>
        <w:rPr>
          <w:rFonts w:ascii="Arial" w:hAnsi="Arial"/>
        </w:rPr>
      </w:pPr>
      <w:proofErr w:type="gramStart"/>
      <w:r w:rsidRPr="00770E27">
        <w:rPr>
          <w:rFonts w:ascii="Arial" w:hAnsi="Arial"/>
        </w:rPr>
        <w:t>effecting</w:t>
      </w:r>
      <w:proofErr w:type="gramEnd"/>
      <w:r w:rsidRPr="00770E27">
        <w:rPr>
          <w:rFonts w:ascii="Arial" w:hAnsi="Arial"/>
        </w:rPr>
        <w:t xml:space="preserve"> restoration after loss of system elements.</w:t>
      </w:r>
    </w:p>
    <w:p w:rsidR="00FC1F46" w:rsidRPr="00821ED8" w:rsidRDefault="00FC1F46" w:rsidP="00FC1F46">
      <w:pPr>
        <w:rPr>
          <w:rFonts w:ascii="Arial" w:hAnsi="Arial"/>
        </w:rPr>
      </w:pPr>
    </w:p>
    <w:p w:rsidR="00FC1F46" w:rsidRDefault="00FC1F46" w:rsidP="00FC1F46">
      <w:pPr>
        <w:pStyle w:val="ListParagraph"/>
        <w:numPr>
          <w:ilvl w:val="2"/>
          <w:numId w:val="22"/>
        </w:numPr>
        <w:rPr>
          <w:rFonts w:ascii="Arial" w:hAnsi="Arial"/>
        </w:rPr>
      </w:pPr>
      <w:r w:rsidRPr="00770E27">
        <w:rPr>
          <w:rFonts w:ascii="Arial" w:hAnsi="Arial"/>
        </w:rPr>
        <w:t xml:space="preserve">The Dynamic Transfer limit will </w:t>
      </w:r>
      <w:r w:rsidRPr="00F94CDC">
        <w:rPr>
          <w:rFonts w:ascii="Arial" w:hAnsi="Arial"/>
        </w:rPr>
        <w:t>be the lower of the Dynamic Transfer Limit Signal, the reliability limit</w:t>
      </w:r>
      <w:r>
        <w:rPr>
          <w:rFonts w:ascii="Arial" w:hAnsi="Arial"/>
        </w:rPr>
        <w:t>,</w:t>
      </w:r>
      <w:r w:rsidRPr="00F94CDC">
        <w:rPr>
          <w:rFonts w:ascii="Arial" w:hAnsi="Arial"/>
        </w:rPr>
        <w:t xml:space="preserve"> or the Transmission Profile </w:t>
      </w:r>
      <w:r>
        <w:rPr>
          <w:rFonts w:ascii="Arial" w:hAnsi="Arial"/>
        </w:rPr>
        <w:t>on the e-Tag.</w:t>
      </w:r>
    </w:p>
    <w:p w:rsidR="00FC1F46" w:rsidRPr="00770E27" w:rsidRDefault="00FC1F46" w:rsidP="00FC1F46">
      <w:pPr>
        <w:pStyle w:val="ListParagraph"/>
        <w:ind w:left="1224"/>
        <w:rPr>
          <w:rFonts w:ascii="Arial" w:hAnsi="Arial"/>
        </w:rPr>
      </w:pPr>
    </w:p>
    <w:p w:rsidR="00FC1F46" w:rsidRDefault="00FC1F46" w:rsidP="00FC1F46">
      <w:pPr>
        <w:pStyle w:val="ListParagraph"/>
        <w:numPr>
          <w:ilvl w:val="2"/>
          <w:numId w:val="22"/>
        </w:numPr>
        <w:rPr>
          <w:rFonts w:ascii="Arial" w:hAnsi="Arial"/>
        </w:rPr>
      </w:pPr>
      <w:r w:rsidRPr="00770E27">
        <w:rPr>
          <w:rFonts w:ascii="Arial" w:hAnsi="Arial"/>
        </w:rPr>
        <w:t>Each Dynamic Transfer over the COI must be monitored and operated through BPA’s Balancing Authority Area without regard to whose transmission rights are used.</w:t>
      </w:r>
    </w:p>
    <w:p w:rsidR="00FC1F46" w:rsidRPr="00821ED8" w:rsidRDefault="00FC1F46" w:rsidP="00FC1F46">
      <w:pPr>
        <w:rPr>
          <w:rFonts w:ascii="Arial" w:hAnsi="Arial"/>
        </w:rPr>
      </w:pPr>
    </w:p>
    <w:p w:rsidR="00FC1F46" w:rsidRDefault="00FC1F46" w:rsidP="00FC1F46">
      <w:pPr>
        <w:pStyle w:val="ListParagraph"/>
        <w:numPr>
          <w:ilvl w:val="2"/>
          <w:numId w:val="22"/>
        </w:numPr>
        <w:rPr>
          <w:rFonts w:ascii="Arial" w:hAnsi="Arial"/>
        </w:rPr>
      </w:pPr>
      <w:r w:rsidRPr="00770E27">
        <w:rPr>
          <w:rFonts w:ascii="Arial" w:hAnsi="Arial"/>
        </w:rPr>
        <w:t xml:space="preserve">BPA expects to revise the Dynamic Transfer scheduling limits for the COI from time to time based on new studies as COI conditions change and </w:t>
      </w:r>
      <w:r>
        <w:rPr>
          <w:rFonts w:ascii="Arial" w:hAnsi="Arial"/>
        </w:rPr>
        <w:t xml:space="preserve">will </w:t>
      </w:r>
      <w:r w:rsidRPr="00770E27">
        <w:rPr>
          <w:rFonts w:ascii="Arial" w:hAnsi="Arial"/>
        </w:rPr>
        <w:t xml:space="preserve">make any changes in limits available publicly. COI Dynamic Transfer schedules are currently limited to </w:t>
      </w:r>
      <w:r w:rsidR="005824CC">
        <w:rPr>
          <w:rFonts w:ascii="Arial" w:hAnsi="Arial"/>
        </w:rPr>
        <w:t>4</w:t>
      </w:r>
      <w:r w:rsidR="005824CC" w:rsidRPr="00770E27">
        <w:rPr>
          <w:rFonts w:ascii="Arial" w:hAnsi="Arial"/>
        </w:rPr>
        <w:t xml:space="preserve">00 </w:t>
      </w:r>
      <w:r w:rsidRPr="00770E27">
        <w:rPr>
          <w:rFonts w:ascii="Arial" w:hAnsi="Arial"/>
        </w:rPr>
        <w:t xml:space="preserve">MW in aggregate </w:t>
      </w:r>
      <w:r w:rsidR="005824CC">
        <w:rPr>
          <w:rFonts w:ascii="Arial" w:hAnsi="Arial"/>
        </w:rPr>
        <w:t>for all hours and all days</w:t>
      </w:r>
      <w:r w:rsidRPr="00770E27">
        <w:rPr>
          <w:rFonts w:ascii="Arial" w:hAnsi="Arial"/>
        </w:rPr>
        <w:t>.</w:t>
      </w:r>
    </w:p>
    <w:p w:rsidR="00821ED8" w:rsidRPr="00821ED8" w:rsidRDefault="00821ED8" w:rsidP="00821ED8">
      <w:pPr>
        <w:rPr>
          <w:rFonts w:ascii="Arial" w:hAnsi="Arial"/>
        </w:rPr>
      </w:pPr>
    </w:p>
    <w:p w:rsidR="00B069D6" w:rsidRPr="009E4B89" w:rsidRDefault="00B069D6" w:rsidP="00FC1F46">
      <w:pPr>
        <w:pStyle w:val="Default"/>
        <w:rPr>
          <w:rFonts w:ascii="Arial" w:hAnsi="Arial" w:cs="Arial"/>
          <w:b/>
          <w:bCs/>
          <w:sz w:val="20"/>
          <w:szCs w:val="20"/>
        </w:rPr>
      </w:pPr>
    </w:p>
    <w:p w:rsidR="00337928" w:rsidRPr="009E4B89" w:rsidRDefault="00337928" w:rsidP="00337928">
      <w:pPr>
        <w:pStyle w:val="Default"/>
        <w:ind w:left="360"/>
        <w:rPr>
          <w:rFonts w:ascii="Arial" w:hAnsi="Arial" w:cs="Arial"/>
          <w:sz w:val="20"/>
          <w:szCs w:val="20"/>
        </w:rPr>
      </w:pPr>
    </w:p>
    <w:p w:rsidR="00A000F2" w:rsidRPr="00337928" w:rsidRDefault="00A000F2" w:rsidP="008C4905">
      <w:pPr>
        <w:numPr>
          <w:ilvl w:val="0"/>
          <w:numId w:val="22"/>
        </w:numPr>
        <w:jc w:val="both"/>
        <w:outlineLvl w:val="2"/>
        <w:rPr>
          <w:rFonts w:ascii="Arial" w:hAnsi="Arial" w:cs="Arial"/>
          <w:b/>
          <w:bCs/>
        </w:rPr>
      </w:pPr>
      <w:r w:rsidRPr="00337928">
        <w:rPr>
          <w:rFonts w:ascii="Arial" w:hAnsi="Arial"/>
          <w:u w:val="single"/>
        </w:rPr>
        <w:t>Revision History</w:t>
      </w:r>
    </w:p>
    <w:p w:rsidR="00927B89" w:rsidRPr="00927B89" w:rsidRDefault="00927B89" w:rsidP="00337928">
      <w:pPr>
        <w:rPr>
          <w:rFonts w:ascii="Arial" w:hAnsi="Arial"/>
          <w:u w:val="single"/>
        </w:rPr>
      </w:pPr>
    </w:p>
    <w:tbl>
      <w:tblPr>
        <w:tblpPr w:leftFromText="180" w:rightFromText="180" w:vertAnchor="text" w:horzAnchor="margin" w:tblpY="81"/>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880"/>
        <w:gridCol w:w="5002"/>
      </w:tblGrid>
      <w:tr w:rsidR="00FC1F46" w:rsidTr="005824CC">
        <w:trPr>
          <w:trHeight w:val="386"/>
        </w:trPr>
        <w:tc>
          <w:tcPr>
            <w:tcW w:w="953" w:type="dxa"/>
            <w:vAlign w:val="bottom"/>
          </w:tcPr>
          <w:p w:rsidR="00FC1F46" w:rsidRPr="002420AE" w:rsidRDefault="00FC1F46" w:rsidP="005824CC">
            <w:pPr>
              <w:rPr>
                <w:rFonts w:ascii="Arial" w:hAnsi="Arial" w:cs="Arial"/>
                <w:b/>
              </w:rPr>
            </w:pPr>
            <w:r w:rsidRPr="002420AE">
              <w:rPr>
                <w:rFonts w:ascii="Arial" w:hAnsi="Arial" w:cs="Arial"/>
                <w:b/>
              </w:rPr>
              <w:t>Version</w:t>
            </w:r>
          </w:p>
        </w:tc>
        <w:tc>
          <w:tcPr>
            <w:tcW w:w="2880" w:type="dxa"/>
            <w:vAlign w:val="bottom"/>
          </w:tcPr>
          <w:p w:rsidR="00FC1F46" w:rsidRPr="002420AE" w:rsidRDefault="00FC1F46" w:rsidP="005824CC">
            <w:pPr>
              <w:rPr>
                <w:rFonts w:ascii="Arial" w:hAnsi="Arial" w:cs="Arial"/>
                <w:b/>
              </w:rPr>
            </w:pPr>
            <w:r w:rsidRPr="002420AE">
              <w:rPr>
                <w:rFonts w:ascii="Arial" w:hAnsi="Arial" w:cs="Arial"/>
                <w:b/>
              </w:rPr>
              <w:t>Date</w:t>
            </w:r>
          </w:p>
        </w:tc>
        <w:tc>
          <w:tcPr>
            <w:tcW w:w="5002" w:type="dxa"/>
            <w:vAlign w:val="bottom"/>
          </w:tcPr>
          <w:p w:rsidR="00FC1F46" w:rsidRPr="002420AE" w:rsidRDefault="00FC1F46" w:rsidP="005824CC">
            <w:pPr>
              <w:rPr>
                <w:rFonts w:ascii="Arial" w:hAnsi="Arial" w:cs="Arial"/>
                <w:b/>
              </w:rPr>
            </w:pPr>
            <w:r w:rsidRPr="002420AE">
              <w:rPr>
                <w:rFonts w:ascii="Arial" w:hAnsi="Arial" w:cs="Arial"/>
                <w:b/>
              </w:rPr>
              <w:t>Change Summary</w:t>
            </w:r>
          </w:p>
        </w:tc>
      </w:tr>
      <w:tr w:rsidR="00FC1F46" w:rsidTr="005824CC">
        <w:trPr>
          <w:trHeight w:val="386"/>
        </w:trPr>
        <w:tc>
          <w:tcPr>
            <w:tcW w:w="953" w:type="dxa"/>
            <w:vAlign w:val="center"/>
          </w:tcPr>
          <w:p w:rsidR="00FC1F46" w:rsidRDefault="00FC1F46" w:rsidP="005824CC">
            <w:pPr>
              <w:rPr>
                <w:rFonts w:ascii="Arial" w:hAnsi="Arial" w:cs="Arial"/>
              </w:rPr>
            </w:pPr>
            <w:r>
              <w:rPr>
                <w:rFonts w:ascii="Arial" w:hAnsi="Arial" w:cs="Arial"/>
              </w:rPr>
              <w:t>0</w:t>
            </w:r>
          </w:p>
        </w:tc>
        <w:tc>
          <w:tcPr>
            <w:tcW w:w="2880" w:type="dxa"/>
            <w:vAlign w:val="center"/>
          </w:tcPr>
          <w:p w:rsidR="00FC1F46" w:rsidRDefault="00FC1F46" w:rsidP="005824CC">
            <w:pPr>
              <w:rPr>
                <w:rFonts w:ascii="Arial" w:hAnsi="Arial" w:cs="Arial"/>
              </w:rPr>
            </w:pPr>
            <w:r>
              <w:rPr>
                <w:rFonts w:ascii="Arial" w:hAnsi="Arial" w:cs="Arial"/>
              </w:rPr>
              <w:t>Draft 1 – September 29, 2014</w:t>
            </w:r>
          </w:p>
        </w:tc>
        <w:tc>
          <w:tcPr>
            <w:tcW w:w="5002" w:type="dxa"/>
            <w:vAlign w:val="center"/>
          </w:tcPr>
          <w:p w:rsidR="00FC1F46" w:rsidRDefault="00FC1F46" w:rsidP="005824CC">
            <w:pPr>
              <w:numPr>
                <w:ilvl w:val="0"/>
                <w:numId w:val="11"/>
              </w:numPr>
              <w:rPr>
                <w:rFonts w:ascii="Arial" w:hAnsi="Arial" w:cs="Arial"/>
              </w:rPr>
            </w:pPr>
            <w:r>
              <w:rPr>
                <w:rFonts w:ascii="Arial" w:hAnsi="Arial" w:cs="Arial"/>
              </w:rPr>
              <w:t xml:space="preserve">Initial </w:t>
            </w:r>
            <w:r w:rsidR="00014EBD">
              <w:rPr>
                <w:rFonts w:ascii="Arial" w:hAnsi="Arial" w:cs="Arial"/>
              </w:rPr>
              <w:t>draft posting</w:t>
            </w:r>
          </w:p>
        </w:tc>
      </w:tr>
      <w:tr w:rsidR="00FC1F46" w:rsidTr="005824CC">
        <w:trPr>
          <w:trHeight w:val="386"/>
        </w:trPr>
        <w:tc>
          <w:tcPr>
            <w:tcW w:w="953" w:type="dxa"/>
            <w:vAlign w:val="center"/>
          </w:tcPr>
          <w:p w:rsidR="00FC1F46" w:rsidRDefault="00FC1F46" w:rsidP="005824CC">
            <w:pPr>
              <w:rPr>
                <w:rFonts w:ascii="Arial" w:hAnsi="Arial" w:cs="Arial"/>
              </w:rPr>
            </w:pPr>
            <w:r>
              <w:rPr>
                <w:rFonts w:ascii="Arial" w:hAnsi="Arial" w:cs="Arial"/>
              </w:rPr>
              <w:t>0</w:t>
            </w:r>
          </w:p>
        </w:tc>
        <w:tc>
          <w:tcPr>
            <w:tcW w:w="2880" w:type="dxa"/>
            <w:vAlign w:val="center"/>
          </w:tcPr>
          <w:p w:rsidR="00FC1F46" w:rsidRDefault="00FC1F46" w:rsidP="005824CC">
            <w:pPr>
              <w:rPr>
                <w:rFonts w:ascii="Arial" w:hAnsi="Arial" w:cs="Arial"/>
              </w:rPr>
            </w:pPr>
            <w:r>
              <w:rPr>
                <w:rFonts w:ascii="Arial" w:hAnsi="Arial" w:cs="Arial"/>
              </w:rPr>
              <w:t>Draft 2 – October 15, 2014</w:t>
            </w:r>
          </w:p>
        </w:tc>
        <w:tc>
          <w:tcPr>
            <w:tcW w:w="5002" w:type="dxa"/>
            <w:vAlign w:val="center"/>
          </w:tcPr>
          <w:p w:rsidR="00FC1F46" w:rsidRDefault="00FC1F46" w:rsidP="005824CC">
            <w:pPr>
              <w:numPr>
                <w:ilvl w:val="0"/>
                <w:numId w:val="11"/>
              </w:numPr>
              <w:rPr>
                <w:rFonts w:ascii="Arial" w:hAnsi="Arial" w:cs="Arial"/>
              </w:rPr>
            </w:pPr>
            <w:r>
              <w:rPr>
                <w:rFonts w:ascii="Arial" w:hAnsi="Arial" w:cs="Arial"/>
              </w:rPr>
              <w:t xml:space="preserve">Revised Section 3.2 Telemetering, added Attachment 1 – Registration for Dynamic Transfer Capability on the COI </w:t>
            </w:r>
          </w:p>
        </w:tc>
      </w:tr>
      <w:tr w:rsidR="008B125A" w:rsidTr="005824CC">
        <w:trPr>
          <w:trHeight w:val="742"/>
        </w:trPr>
        <w:tc>
          <w:tcPr>
            <w:tcW w:w="953" w:type="dxa"/>
            <w:tcBorders>
              <w:left w:val="single" w:sz="4" w:space="0" w:color="auto"/>
              <w:bottom w:val="single" w:sz="4" w:space="0" w:color="auto"/>
              <w:right w:val="single" w:sz="4" w:space="0" w:color="auto"/>
            </w:tcBorders>
            <w:vAlign w:val="center"/>
          </w:tcPr>
          <w:p w:rsidR="008B125A" w:rsidRDefault="008B125A" w:rsidP="005824CC">
            <w:pPr>
              <w:rPr>
                <w:rFonts w:ascii="Arial" w:hAnsi="Arial" w:cs="Arial"/>
              </w:rPr>
            </w:pPr>
            <w:r>
              <w:rPr>
                <w:rFonts w:ascii="Arial" w:hAnsi="Arial" w:cs="Arial"/>
              </w:rPr>
              <w:t>0</w:t>
            </w:r>
          </w:p>
        </w:tc>
        <w:tc>
          <w:tcPr>
            <w:tcW w:w="2880" w:type="dxa"/>
            <w:tcBorders>
              <w:left w:val="single" w:sz="4" w:space="0" w:color="auto"/>
              <w:bottom w:val="single" w:sz="4" w:space="0" w:color="auto"/>
              <w:right w:val="single" w:sz="4" w:space="0" w:color="auto"/>
            </w:tcBorders>
            <w:vAlign w:val="center"/>
          </w:tcPr>
          <w:p w:rsidR="008B125A" w:rsidRDefault="008B125A" w:rsidP="005824CC">
            <w:pPr>
              <w:rPr>
                <w:rFonts w:ascii="Arial" w:hAnsi="Arial" w:cs="Arial"/>
              </w:rPr>
            </w:pPr>
            <w:r>
              <w:rPr>
                <w:rFonts w:ascii="Arial" w:hAnsi="Arial" w:cs="Arial"/>
              </w:rPr>
              <w:t>Draft 3 – October 23, 2014</w:t>
            </w:r>
          </w:p>
        </w:tc>
        <w:tc>
          <w:tcPr>
            <w:tcW w:w="5002" w:type="dxa"/>
            <w:tcBorders>
              <w:left w:val="single" w:sz="4" w:space="0" w:color="auto"/>
              <w:bottom w:val="single" w:sz="4" w:space="0" w:color="auto"/>
              <w:right w:val="single" w:sz="4" w:space="0" w:color="auto"/>
            </w:tcBorders>
            <w:vAlign w:val="center"/>
          </w:tcPr>
          <w:p w:rsidR="00014EBD" w:rsidRPr="00014EBD" w:rsidRDefault="00321135" w:rsidP="005824CC">
            <w:pPr>
              <w:pStyle w:val="ListParagraph"/>
              <w:numPr>
                <w:ilvl w:val="0"/>
                <w:numId w:val="11"/>
              </w:numPr>
              <w:rPr>
                <w:rFonts w:ascii="Arial" w:hAnsi="Arial" w:cs="Arial"/>
              </w:rPr>
            </w:pPr>
            <w:r>
              <w:rPr>
                <w:rFonts w:ascii="Arial" w:hAnsi="Arial" w:cs="Arial"/>
              </w:rPr>
              <w:t>Reposted changes of Draft 1 that were inadvertently omitted in reposting of Draft 2 update  in Section 3.2</w:t>
            </w:r>
          </w:p>
        </w:tc>
      </w:tr>
      <w:tr w:rsidR="00014EBD" w:rsidTr="005824CC">
        <w:trPr>
          <w:trHeight w:val="180"/>
        </w:trPr>
        <w:tc>
          <w:tcPr>
            <w:tcW w:w="953" w:type="dxa"/>
            <w:tcBorders>
              <w:left w:val="single" w:sz="4" w:space="0" w:color="auto"/>
              <w:bottom w:val="single" w:sz="4" w:space="0" w:color="auto"/>
              <w:right w:val="single" w:sz="4" w:space="0" w:color="auto"/>
            </w:tcBorders>
            <w:vAlign w:val="center"/>
          </w:tcPr>
          <w:p w:rsidR="00014EBD" w:rsidRDefault="00014EBD" w:rsidP="005824CC">
            <w:pPr>
              <w:rPr>
                <w:rFonts w:ascii="Arial" w:hAnsi="Arial" w:cs="Arial"/>
              </w:rPr>
            </w:pPr>
          </w:p>
          <w:p w:rsidR="00014EBD" w:rsidRDefault="00014EBD" w:rsidP="005824CC">
            <w:pPr>
              <w:rPr>
                <w:rFonts w:ascii="Arial" w:hAnsi="Arial" w:cs="Arial"/>
              </w:rPr>
            </w:pPr>
            <w:r>
              <w:rPr>
                <w:rFonts w:ascii="Arial" w:hAnsi="Arial" w:cs="Arial"/>
              </w:rPr>
              <w:t>0</w:t>
            </w:r>
          </w:p>
          <w:p w:rsidR="00014EBD" w:rsidRDefault="00014EBD" w:rsidP="005824CC">
            <w:pPr>
              <w:rPr>
                <w:rFonts w:ascii="Arial" w:hAnsi="Arial" w:cs="Arial"/>
              </w:rPr>
            </w:pPr>
          </w:p>
        </w:tc>
        <w:tc>
          <w:tcPr>
            <w:tcW w:w="2880" w:type="dxa"/>
            <w:tcBorders>
              <w:left w:val="single" w:sz="4" w:space="0" w:color="auto"/>
              <w:bottom w:val="single" w:sz="4" w:space="0" w:color="auto"/>
              <w:right w:val="single" w:sz="4" w:space="0" w:color="auto"/>
            </w:tcBorders>
            <w:vAlign w:val="center"/>
          </w:tcPr>
          <w:p w:rsidR="00014EBD" w:rsidRDefault="005C672F" w:rsidP="005824CC">
            <w:pPr>
              <w:rPr>
                <w:rFonts w:ascii="Arial" w:hAnsi="Arial" w:cs="Arial"/>
              </w:rPr>
            </w:pPr>
            <w:r>
              <w:rPr>
                <w:rFonts w:ascii="Arial" w:hAnsi="Arial" w:cs="Arial"/>
              </w:rPr>
              <w:t>November 17</w:t>
            </w:r>
            <w:r w:rsidR="00014EBD">
              <w:rPr>
                <w:rFonts w:ascii="Arial" w:hAnsi="Arial" w:cs="Arial"/>
              </w:rPr>
              <w:t>, 2014</w:t>
            </w:r>
          </w:p>
        </w:tc>
        <w:tc>
          <w:tcPr>
            <w:tcW w:w="5002" w:type="dxa"/>
            <w:tcBorders>
              <w:left w:val="single" w:sz="4" w:space="0" w:color="auto"/>
              <w:bottom w:val="single" w:sz="4" w:space="0" w:color="auto"/>
              <w:right w:val="single" w:sz="4" w:space="0" w:color="auto"/>
            </w:tcBorders>
            <w:vAlign w:val="center"/>
          </w:tcPr>
          <w:p w:rsidR="00014EBD" w:rsidRPr="00014EBD" w:rsidRDefault="00014EBD" w:rsidP="005824CC">
            <w:pPr>
              <w:pStyle w:val="ListParagraph"/>
              <w:numPr>
                <w:ilvl w:val="0"/>
                <w:numId w:val="11"/>
              </w:numPr>
              <w:rPr>
                <w:rFonts w:ascii="Arial" w:hAnsi="Arial" w:cs="Arial"/>
              </w:rPr>
            </w:pPr>
            <w:r w:rsidRPr="00014EBD">
              <w:rPr>
                <w:rFonts w:ascii="Arial" w:hAnsi="Arial" w:cs="Arial"/>
              </w:rPr>
              <w:t xml:space="preserve">Initial </w:t>
            </w:r>
            <w:r>
              <w:rPr>
                <w:rFonts w:ascii="Arial" w:hAnsi="Arial" w:cs="Arial"/>
              </w:rPr>
              <w:t xml:space="preserve">production </w:t>
            </w:r>
            <w:r w:rsidR="005C672F">
              <w:rPr>
                <w:rFonts w:ascii="Arial" w:hAnsi="Arial" w:cs="Arial"/>
              </w:rPr>
              <w:t>posting</w:t>
            </w:r>
            <w:r>
              <w:rPr>
                <w:rFonts w:ascii="Arial" w:hAnsi="Arial" w:cs="Arial"/>
              </w:rPr>
              <w:t>, effective Nov 1, 2014</w:t>
            </w:r>
          </w:p>
        </w:tc>
      </w:tr>
      <w:tr w:rsidR="005824CC" w:rsidTr="005824CC">
        <w:trPr>
          <w:trHeight w:val="676"/>
        </w:trPr>
        <w:tc>
          <w:tcPr>
            <w:tcW w:w="953" w:type="dxa"/>
          </w:tcPr>
          <w:p w:rsidR="005824CC" w:rsidRPr="009000DC" w:rsidRDefault="005824CC" w:rsidP="009000DC">
            <w:pPr>
              <w:rPr>
                <w:rFonts w:ascii="Arial" w:hAnsi="Arial" w:cs="Arial"/>
              </w:rPr>
            </w:pPr>
            <w:r>
              <w:rPr>
                <w:rFonts w:ascii="Arial" w:hAnsi="Arial" w:cs="Arial"/>
              </w:rPr>
              <w:t>1</w:t>
            </w:r>
          </w:p>
        </w:tc>
        <w:tc>
          <w:tcPr>
            <w:tcW w:w="2880" w:type="dxa"/>
          </w:tcPr>
          <w:p w:rsidR="005824CC" w:rsidRPr="009000DC" w:rsidRDefault="005824CC" w:rsidP="009000DC">
            <w:pPr>
              <w:rPr>
                <w:rFonts w:ascii="Arial" w:hAnsi="Arial" w:cs="Arial"/>
              </w:rPr>
            </w:pPr>
            <w:r>
              <w:rPr>
                <w:rFonts w:ascii="Arial" w:hAnsi="Arial" w:cs="Arial"/>
              </w:rPr>
              <w:t>October 1, 2015</w:t>
            </w:r>
          </w:p>
        </w:tc>
        <w:tc>
          <w:tcPr>
            <w:tcW w:w="5002" w:type="dxa"/>
          </w:tcPr>
          <w:p w:rsidR="005824CC" w:rsidRPr="009000DC" w:rsidRDefault="005824CC" w:rsidP="009000DC">
            <w:pPr>
              <w:pStyle w:val="ListParagraph"/>
              <w:numPr>
                <w:ilvl w:val="0"/>
                <w:numId w:val="11"/>
              </w:numPr>
              <w:rPr>
                <w:rFonts w:ascii="Arial" w:hAnsi="Arial" w:cs="Arial"/>
              </w:rPr>
            </w:pPr>
            <w:r>
              <w:rPr>
                <w:rFonts w:ascii="Arial" w:hAnsi="Arial" w:cs="Arial"/>
              </w:rPr>
              <w:t xml:space="preserve">Step 3.7.6. Revised DTC limit to 400 </w:t>
            </w:r>
            <w:proofErr w:type="spellStart"/>
            <w:r>
              <w:rPr>
                <w:rFonts w:ascii="Arial" w:hAnsi="Arial" w:cs="Arial"/>
              </w:rPr>
              <w:t>MWfor</w:t>
            </w:r>
            <w:proofErr w:type="spellEnd"/>
            <w:r>
              <w:rPr>
                <w:rFonts w:ascii="Arial" w:hAnsi="Arial" w:cs="Arial"/>
              </w:rPr>
              <w:t xml:space="preserve"> all hours, all days</w:t>
            </w:r>
          </w:p>
        </w:tc>
      </w:tr>
    </w:tbl>
    <w:tbl>
      <w:tblPr>
        <w:tblpPr w:leftFromText="180" w:rightFromText="180" w:vertAnchor="text" w:tblpX="-4466" w:tblpY="-187"/>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14EBD" w:rsidTr="00014EBD">
        <w:trPr>
          <w:trHeight w:val="288"/>
        </w:trPr>
        <w:tc>
          <w:tcPr>
            <w:tcW w:w="324" w:type="dxa"/>
          </w:tcPr>
          <w:p w:rsidR="00014EBD" w:rsidRDefault="00014EBD" w:rsidP="00014EBD">
            <w:pPr>
              <w:jc w:val="center"/>
              <w:rPr>
                <w:rFonts w:ascii="Arial" w:hAnsi="Arial"/>
                <w:b/>
                <w:u w:val="single"/>
              </w:rPr>
            </w:pPr>
          </w:p>
        </w:tc>
      </w:tr>
    </w:tbl>
    <w:p w:rsidR="0087675E" w:rsidRDefault="0087675E" w:rsidP="00FC1F46">
      <w:pPr>
        <w:ind w:left="360"/>
        <w:jc w:val="center"/>
        <w:rPr>
          <w:rFonts w:ascii="Arial" w:hAnsi="Arial"/>
          <w:b/>
          <w:u w:val="single"/>
        </w:rPr>
      </w:pPr>
    </w:p>
    <w:p w:rsidR="0087675E" w:rsidRDefault="0087675E">
      <w:pPr>
        <w:rPr>
          <w:rFonts w:ascii="Arial" w:hAnsi="Arial"/>
          <w:b/>
          <w:u w:val="single"/>
        </w:rPr>
      </w:pPr>
      <w:r>
        <w:rPr>
          <w:rFonts w:ascii="Arial" w:hAnsi="Arial"/>
          <w:b/>
          <w:u w:val="single"/>
        </w:rPr>
        <w:br w:type="page"/>
      </w:r>
    </w:p>
    <w:p w:rsidR="00FC1F46" w:rsidRDefault="00FC1F46" w:rsidP="00FC1F46">
      <w:pPr>
        <w:ind w:left="360"/>
        <w:jc w:val="center"/>
        <w:rPr>
          <w:rFonts w:ascii="Arial" w:hAnsi="Arial"/>
          <w:b/>
          <w:u w:val="single"/>
        </w:rPr>
      </w:pPr>
      <w:r w:rsidRPr="00610992">
        <w:rPr>
          <w:rFonts w:ascii="Arial" w:hAnsi="Arial"/>
          <w:b/>
          <w:u w:val="single"/>
        </w:rPr>
        <w:lastRenderedPageBreak/>
        <w:t>Appendix A</w:t>
      </w:r>
    </w:p>
    <w:p w:rsidR="00FC1F46" w:rsidRDefault="00FC1F46" w:rsidP="00FC1F46">
      <w:pPr>
        <w:ind w:left="360"/>
        <w:rPr>
          <w:rFonts w:ascii="Arial" w:hAnsi="Arial"/>
          <w:b/>
          <w:u w:val="single"/>
        </w:rPr>
      </w:pPr>
    </w:p>
    <w:p w:rsidR="00FC1F46" w:rsidRPr="00610992" w:rsidRDefault="00FC1F46" w:rsidP="00FC1F46">
      <w:pPr>
        <w:ind w:left="360"/>
        <w:jc w:val="center"/>
        <w:rPr>
          <w:rFonts w:ascii="Arial" w:hAnsi="Arial"/>
          <w:b/>
          <w:u w:val="single"/>
        </w:rPr>
      </w:pPr>
      <w:r w:rsidRPr="00610992">
        <w:rPr>
          <w:rFonts w:ascii="Arial" w:hAnsi="Arial" w:cs="Arial"/>
          <w:b/>
        </w:rPr>
        <w:t>Dynamic Transfer Entity’s COI DTC Allocation</w:t>
      </w:r>
    </w:p>
    <w:p w:rsidR="00FC1F46" w:rsidRPr="00250E77" w:rsidRDefault="00FC1F46" w:rsidP="00FC1F46">
      <w:pPr>
        <w:ind w:left="360"/>
        <w:rPr>
          <w:rFonts w:ascii="Arial" w:hAnsi="Arial"/>
        </w:rPr>
      </w:pPr>
    </w:p>
    <w:p w:rsidR="00FC1F46" w:rsidRPr="009E4B89" w:rsidRDefault="00FC1F46" w:rsidP="00FC1F46">
      <w:pPr>
        <w:pStyle w:val="Default"/>
        <w:ind w:left="720"/>
        <w:rPr>
          <w:rFonts w:ascii="Arial" w:hAnsi="Arial" w:cs="Arial"/>
          <w:b/>
          <w:bCs/>
          <w:sz w:val="20"/>
          <w:szCs w:val="20"/>
        </w:rPr>
      </w:pPr>
      <w:r w:rsidRPr="009E4B89">
        <w:rPr>
          <w:rFonts w:ascii="Arial" w:hAnsi="Arial" w:cs="Arial"/>
          <w:sz w:val="20"/>
          <w:szCs w:val="20"/>
        </w:rPr>
        <w:t xml:space="preserve">Dynamic Transfer Entity’s COI DTC allocation will be based on a weighted allocation using the following methodology. The Dynamic Transfer Entity’s Total Customer Weighting (TCW) is equivalent to: the proportion of (A) the transmission customer’s COI DTC request to (B) the total of all COI DTC requests for that Transmission Provider, multiplied by (C) the Dynamic Transfer Entity’s current reserved long-term firm point-to-point transmission service capacity on the COI to (D) the Transmission Provider’s total transmission capacity (TTC) on the COI N-S </w:t>
      </w:r>
    </w:p>
    <w:p w:rsidR="00FC1F46" w:rsidRPr="009E4B89" w:rsidRDefault="00FC1F46" w:rsidP="00FC1F46">
      <w:pPr>
        <w:pStyle w:val="Default"/>
        <w:ind w:left="720"/>
        <w:rPr>
          <w:rFonts w:ascii="Arial" w:hAnsi="Arial" w:cs="Arial"/>
          <w:b/>
          <w:bCs/>
          <w:sz w:val="20"/>
          <w:szCs w:val="20"/>
        </w:rPr>
      </w:pPr>
    </w:p>
    <w:p w:rsidR="00FC1F46" w:rsidRDefault="00FC1F46" w:rsidP="00FC1F46">
      <w:pPr>
        <w:pStyle w:val="Default"/>
        <w:ind w:left="720"/>
        <w:rPr>
          <w:rFonts w:ascii="Arial" w:hAnsi="Arial" w:cs="Arial"/>
          <w:b/>
          <w:bCs/>
          <w:sz w:val="20"/>
          <w:szCs w:val="20"/>
        </w:rPr>
      </w:pPr>
      <w:r w:rsidRPr="009E4B89">
        <w:rPr>
          <w:rFonts w:ascii="Arial" w:hAnsi="Arial" w:cs="Arial"/>
          <w:sz w:val="20"/>
          <w:szCs w:val="20"/>
        </w:rPr>
        <w:t xml:space="preserve">Restated as a formula: TCW = A/B x C/D </w:t>
      </w:r>
    </w:p>
    <w:p w:rsidR="00FC1F46" w:rsidRDefault="00FC1F46" w:rsidP="00FC1F46">
      <w:pPr>
        <w:pStyle w:val="ListParagraph"/>
        <w:rPr>
          <w:rFonts w:ascii="Arial" w:hAnsi="Arial" w:cs="Arial"/>
        </w:rPr>
      </w:pPr>
    </w:p>
    <w:p w:rsidR="00FC1F46" w:rsidRDefault="00FC1F46" w:rsidP="00FC1F46">
      <w:pPr>
        <w:pStyle w:val="Default"/>
        <w:ind w:left="720"/>
        <w:rPr>
          <w:rFonts w:ascii="Arial" w:hAnsi="Arial" w:cs="Arial"/>
          <w:b/>
          <w:bCs/>
          <w:sz w:val="20"/>
          <w:szCs w:val="20"/>
        </w:rPr>
      </w:pPr>
      <w:r w:rsidRPr="009E4B89">
        <w:rPr>
          <w:rFonts w:ascii="Arial" w:hAnsi="Arial" w:cs="Arial"/>
          <w:sz w:val="20"/>
          <w:szCs w:val="20"/>
        </w:rPr>
        <w:t>And a Dynamic Tra</w:t>
      </w:r>
      <w:r>
        <w:rPr>
          <w:rFonts w:ascii="Arial" w:hAnsi="Arial" w:cs="Arial"/>
          <w:sz w:val="20"/>
          <w:szCs w:val="20"/>
        </w:rPr>
        <w:t>n</w:t>
      </w:r>
      <w:r w:rsidRPr="009E4B89">
        <w:rPr>
          <w:rFonts w:ascii="Arial" w:hAnsi="Arial" w:cs="Arial"/>
          <w:sz w:val="20"/>
          <w:szCs w:val="20"/>
        </w:rPr>
        <w:t xml:space="preserve">sfer Entity’s initial COI DTC allocation is equal to the proportion of the customer’s Total Customer Weighting to the sum of all Total Customer Weightings for the Transmission Provider multiplied by the Transmission Provider’s DTC share, which is the proportion of (E) the Transmission Provider’s COI transmission facility ownership share to (F) the rated total transfer capacity of the COI N-S multiplied by the total DTC for the COI (G). </w:t>
      </w:r>
    </w:p>
    <w:p w:rsidR="00FC1F46" w:rsidRDefault="00FC1F46" w:rsidP="00FC1F46">
      <w:pPr>
        <w:pStyle w:val="ListParagraph"/>
        <w:rPr>
          <w:rFonts w:ascii="Arial" w:hAnsi="Arial" w:cs="Arial"/>
        </w:rPr>
      </w:pPr>
    </w:p>
    <w:p w:rsidR="00FC1F46" w:rsidRDefault="00FC1F46" w:rsidP="00FC1F46">
      <w:pPr>
        <w:pStyle w:val="Default"/>
        <w:ind w:left="720"/>
        <w:rPr>
          <w:rFonts w:ascii="Arial" w:hAnsi="Arial" w:cs="Arial"/>
          <w:b/>
          <w:bCs/>
          <w:sz w:val="20"/>
          <w:szCs w:val="20"/>
        </w:rPr>
      </w:pPr>
      <w:r w:rsidRPr="009E4B89">
        <w:rPr>
          <w:rFonts w:ascii="Arial" w:hAnsi="Arial" w:cs="Arial"/>
          <w:sz w:val="20"/>
          <w:szCs w:val="20"/>
        </w:rPr>
        <w:t xml:space="preserve">DTC1 = (TCW/sum of all TCWs for TP) x ((E/F) x G) </w:t>
      </w:r>
    </w:p>
    <w:p w:rsidR="00FC1F46" w:rsidRDefault="00FC1F46" w:rsidP="00FC1F46">
      <w:pPr>
        <w:pStyle w:val="ListParagraph"/>
        <w:rPr>
          <w:rFonts w:ascii="Arial" w:hAnsi="Arial" w:cs="Arial"/>
        </w:rPr>
      </w:pPr>
    </w:p>
    <w:p w:rsidR="00FC1F46" w:rsidRDefault="00FC1F46" w:rsidP="00FC1F46">
      <w:pPr>
        <w:pStyle w:val="Default"/>
        <w:ind w:left="720"/>
        <w:rPr>
          <w:rFonts w:ascii="Arial" w:hAnsi="Arial" w:cs="Arial"/>
          <w:b/>
          <w:bCs/>
          <w:sz w:val="20"/>
          <w:szCs w:val="20"/>
        </w:rPr>
      </w:pPr>
      <w:proofErr w:type="gramStart"/>
      <w:r w:rsidRPr="009E4B89">
        <w:rPr>
          <w:rFonts w:ascii="Arial" w:hAnsi="Arial" w:cs="Arial"/>
          <w:sz w:val="20"/>
          <w:szCs w:val="20"/>
        </w:rPr>
        <w:t>where</w:t>
      </w:r>
      <w:proofErr w:type="gramEnd"/>
      <w:r w:rsidRPr="009E4B89">
        <w:rPr>
          <w:rFonts w:ascii="Arial" w:hAnsi="Arial" w:cs="Arial"/>
          <w:sz w:val="20"/>
          <w:szCs w:val="20"/>
        </w:rPr>
        <w:t xml:space="preserve"> DTC1 is the amount of DTC to be allocated to transmission customer 1 in the first round of allocation. </w:t>
      </w:r>
    </w:p>
    <w:p w:rsidR="00FC1F46" w:rsidRDefault="00FC1F46" w:rsidP="00FC1F46">
      <w:pPr>
        <w:pStyle w:val="ListParagraph"/>
        <w:rPr>
          <w:rFonts w:ascii="Arial" w:hAnsi="Arial" w:cs="Arial"/>
        </w:rPr>
      </w:pPr>
    </w:p>
    <w:p w:rsidR="00FC1F46" w:rsidRDefault="00FC1F46" w:rsidP="00FC1F46">
      <w:pPr>
        <w:pStyle w:val="Default"/>
        <w:ind w:left="720"/>
        <w:rPr>
          <w:rFonts w:ascii="Arial" w:hAnsi="Arial" w:cs="Arial"/>
          <w:b/>
          <w:bCs/>
          <w:sz w:val="20"/>
          <w:szCs w:val="20"/>
        </w:rPr>
      </w:pPr>
      <w:r w:rsidRPr="009E4B89">
        <w:rPr>
          <w:rFonts w:ascii="Arial" w:hAnsi="Arial" w:cs="Arial"/>
          <w:sz w:val="20"/>
          <w:szCs w:val="20"/>
        </w:rPr>
        <w:t xml:space="preserve">Further, if after the first round of allocating to all transmission customers making COI DTC requests, a Transmission Provider has unallocated COI DTC remaining, the Transmission Provider will release its unused COI DTC share (“Remainder”) to Transmission Providers with remaining unfulfilled requests for COI DTC (“Remaining TPs”), according to (E) transmission facility ownership share of each Remaining TP relative to (G) the sum of the transmission facility ownership of all Remaining TPs. </w:t>
      </w:r>
    </w:p>
    <w:p w:rsidR="00FC1F46" w:rsidRDefault="00FC1F46" w:rsidP="00FC1F46">
      <w:pPr>
        <w:pStyle w:val="ListParagraph"/>
        <w:rPr>
          <w:rFonts w:ascii="Arial" w:hAnsi="Arial" w:cs="Arial"/>
        </w:rPr>
      </w:pPr>
    </w:p>
    <w:p w:rsidR="00FC1F46" w:rsidRDefault="00FC1F46" w:rsidP="00FC1F46">
      <w:pPr>
        <w:pStyle w:val="Default"/>
        <w:ind w:left="720"/>
        <w:rPr>
          <w:rFonts w:ascii="Arial" w:hAnsi="Arial" w:cs="Arial"/>
          <w:b/>
          <w:bCs/>
          <w:sz w:val="20"/>
          <w:szCs w:val="20"/>
        </w:rPr>
      </w:pPr>
      <w:r w:rsidRPr="009E4B89">
        <w:rPr>
          <w:rFonts w:ascii="Arial" w:hAnsi="Arial" w:cs="Arial"/>
          <w:sz w:val="20"/>
          <w:szCs w:val="20"/>
        </w:rPr>
        <w:t xml:space="preserve">TP Remainder (TPR) = Remainder x E/G </w:t>
      </w:r>
    </w:p>
    <w:p w:rsidR="00FC1F46" w:rsidRDefault="00FC1F46" w:rsidP="00FC1F46">
      <w:pPr>
        <w:pStyle w:val="ListParagraph"/>
        <w:rPr>
          <w:rFonts w:ascii="Arial" w:hAnsi="Arial" w:cs="Arial"/>
        </w:rPr>
      </w:pPr>
    </w:p>
    <w:p w:rsidR="00FC1F46" w:rsidRDefault="00FC1F46" w:rsidP="00FC1F46">
      <w:pPr>
        <w:pStyle w:val="Default"/>
        <w:ind w:left="720"/>
        <w:rPr>
          <w:rFonts w:ascii="Arial" w:hAnsi="Arial" w:cs="Arial"/>
          <w:b/>
          <w:bCs/>
          <w:sz w:val="20"/>
          <w:szCs w:val="20"/>
        </w:rPr>
      </w:pPr>
      <w:r w:rsidRPr="009E4B89">
        <w:rPr>
          <w:rFonts w:ascii="Arial" w:hAnsi="Arial" w:cs="Arial"/>
          <w:sz w:val="20"/>
          <w:szCs w:val="20"/>
        </w:rPr>
        <w:t xml:space="preserve">BPA will then allocate its share of the Remainder to its Dynamic Transfer Entities with remaining unfulfilled requests according to the same formula as first-round allocation. </w:t>
      </w:r>
    </w:p>
    <w:p w:rsidR="00FC1F46" w:rsidRDefault="00FC1F46" w:rsidP="00FC1F46">
      <w:pPr>
        <w:pStyle w:val="ListParagraph"/>
        <w:rPr>
          <w:rFonts w:ascii="Arial" w:hAnsi="Arial" w:cs="Arial"/>
        </w:rPr>
      </w:pPr>
    </w:p>
    <w:p w:rsidR="00FC1F46" w:rsidRDefault="00FC1F46" w:rsidP="00FC1F46">
      <w:pPr>
        <w:pStyle w:val="Default"/>
        <w:ind w:left="720"/>
        <w:rPr>
          <w:rFonts w:ascii="Arial" w:hAnsi="Arial" w:cs="Arial"/>
          <w:b/>
          <w:bCs/>
          <w:sz w:val="20"/>
          <w:szCs w:val="20"/>
        </w:rPr>
      </w:pPr>
      <w:r w:rsidRPr="009E4B89">
        <w:rPr>
          <w:rFonts w:ascii="Arial" w:hAnsi="Arial" w:cs="Arial"/>
          <w:sz w:val="20"/>
          <w:szCs w:val="20"/>
        </w:rPr>
        <w:t xml:space="preserve">DTC2 = (TCW/sum of all TCWs for TP) x TPR </w:t>
      </w:r>
    </w:p>
    <w:p w:rsidR="00FC1F46" w:rsidRDefault="00FC1F46" w:rsidP="00FC1F46">
      <w:pPr>
        <w:pStyle w:val="ListParagraph"/>
        <w:rPr>
          <w:rFonts w:ascii="Arial" w:hAnsi="Arial" w:cs="Arial"/>
        </w:rPr>
      </w:pPr>
    </w:p>
    <w:p w:rsidR="00FC1F46" w:rsidRDefault="00FC1F46" w:rsidP="00FC1F46">
      <w:pPr>
        <w:pStyle w:val="Default"/>
        <w:ind w:left="720"/>
        <w:rPr>
          <w:rFonts w:ascii="Arial" w:hAnsi="Arial" w:cs="Arial"/>
          <w:b/>
          <w:bCs/>
          <w:sz w:val="20"/>
          <w:szCs w:val="20"/>
        </w:rPr>
      </w:pPr>
      <w:r w:rsidRPr="009E4B89">
        <w:rPr>
          <w:rFonts w:ascii="Arial" w:hAnsi="Arial" w:cs="Arial"/>
          <w:sz w:val="20"/>
          <w:szCs w:val="20"/>
        </w:rPr>
        <w:t xml:space="preserve">The sum of the two distributions described above is the total DTC allocation per transmission customer for the time period calculated. </w:t>
      </w:r>
    </w:p>
    <w:p w:rsidR="00FC1F46" w:rsidRDefault="00FC1F46" w:rsidP="00FC1F46">
      <w:pPr>
        <w:pStyle w:val="ListParagraph"/>
        <w:rPr>
          <w:rFonts w:ascii="Arial" w:hAnsi="Arial" w:cs="Arial"/>
        </w:rPr>
      </w:pPr>
    </w:p>
    <w:p w:rsidR="00FC1F46" w:rsidRDefault="00FC1F46" w:rsidP="00FC1F46">
      <w:pPr>
        <w:pStyle w:val="Default"/>
        <w:ind w:left="720"/>
        <w:rPr>
          <w:rFonts w:ascii="Arial" w:hAnsi="Arial" w:cs="Arial"/>
          <w:sz w:val="20"/>
          <w:szCs w:val="20"/>
        </w:rPr>
      </w:pPr>
      <w:r w:rsidRPr="009E4B89">
        <w:rPr>
          <w:rFonts w:ascii="Arial" w:hAnsi="Arial" w:cs="Arial"/>
          <w:sz w:val="20"/>
          <w:szCs w:val="20"/>
        </w:rPr>
        <w:t>Customer’s total allocation = DTC1 + DTC2</w:t>
      </w:r>
    </w:p>
    <w:p w:rsidR="00FC1F46" w:rsidRDefault="00FC1F46" w:rsidP="00FC1F46">
      <w:pPr>
        <w:pStyle w:val="Default"/>
        <w:ind w:left="720"/>
        <w:rPr>
          <w:rFonts w:ascii="Arial" w:hAnsi="Arial" w:cs="Arial"/>
          <w:sz w:val="20"/>
          <w:szCs w:val="20"/>
        </w:rPr>
      </w:pPr>
    </w:p>
    <w:p w:rsidR="00FC1F46" w:rsidRDefault="00FC1F46" w:rsidP="00FC1F46">
      <w:pPr>
        <w:pStyle w:val="Default"/>
        <w:ind w:left="720"/>
        <w:rPr>
          <w:rFonts w:ascii="Arial" w:hAnsi="Arial" w:cs="Arial"/>
          <w:sz w:val="20"/>
          <w:szCs w:val="20"/>
        </w:rPr>
      </w:pPr>
    </w:p>
    <w:p w:rsidR="00FC1F46" w:rsidRDefault="00FC1F46" w:rsidP="00FC1F46">
      <w:pPr>
        <w:pStyle w:val="Default"/>
        <w:ind w:left="720"/>
        <w:rPr>
          <w:rFonts w:ascii="Arial" w:hAnsi="Arial" w:cs="Arial"/>
          <w:sz w:val="20"/>
          <w:szCs w:val="20"/>
        </w:rPr>
      </w:pPr>
    </w:p>
    <w:p w:rsidR="00FC1F46" w:rsidRDefault="00FC1F46" w:rsidP="00FC1F46">
      <w:pPr>
        <w:pStyle w:val="Default"/>
        <w:ind w:left="720"/>
        <w:rPr>
          <w:rFonts w:ascii="Arial" w:hAnsi="Arial" w:cs="Arial"/>
          <w:sz w:val="20"/>
          <w:szCs w:val="20"/>
        </w:rPr>
      </w:pPr>
    </w:p>
    <w:p w:rsidR="00FC1F46" w:rsidRDefault="00FC1F46" w:rsidP="00FC1F46">
      <w:pPr>
        <w:pStyle w:val="Default"/>
        <w:ind w:left="720"/>
        <w:rPr>
          <w:rFonts w:ascii="Arial" w:hAnsi="Arial" w:cs="Arial"/>
          <w:sz w:val="20"/>
          <w:szCs w:val="20"/>
        </w:rPr>
      </w:pPr>
    </w:p>
    <w:p w:rsidR="00AB4D95" w:rsidRPr="00FC1F46" w:rsidRDefault="00DD7405" w:rsidP="00FC1F46">
      <w:pPr>
        <w:pStyle w:val="Default"/>
        <w:ind w:left="720"/>
        <w:rPr>
          <w:rFonts w:ascii="Arial" w:hAnsi="Arial" w:cs="Arial"/>
          <w:sz w:val="20"/>
          <w:szCs w:val="20"/>
        </w:rPr>
        <w:sectPr w:rsidR="00AB4D95" w:rsidRPr="00FC1F46" w:rsidSect="00305791">
          <w:footerReference w:type="default" r:id="rId10"/>
          <w:footerReference w:type="first" r:id="rId11"/>
          <w:pgSz w:w="12240" w:h="15840" w:code="1"/>
          <w:pgMar w:top="1354" w:right="1800" w:bottom="1440" w:left="2160" w:header="720" w:footer="403" w:gutter="0"/>
          <w:cols w:space="720"/>
          <w:noEndnote/>
          <w:titlePg/>
        </w:sectPr>
      </w:pPr>
      <w:r>
        <w:rPr>
          <w:rFonts w:ascii="Arial" w:hAnsi="Arial"/>
        </w:rPr>
        <w:br w:type="page"/>
      </w:r>
    </w:p>
    <w:p w:rsidR="00DD7405" w:rsidRDefault="00DD7405">
      <w:pPr>
        <w:rPr>
          <w:rFonts w:ascii="Arial" w:hAnsi="Arial"/>
        </w:rPr>
      </w:pPr>
    </w:p>
    <w:p w:rsidR="00752DC8" w:rsidRPr="003273CC" w:rsidRDefault="00DD7405" w:rsidP="004C1D31">
      <w:pPr>
        <w:jc w:val="center"/>
        <w:rPr>
          <w:rFonts w:ascii="Arial" w:hAnsi="Arial"/>
          <w:b/>
          <w:u w:val="single"/>
        </w:rPr>
      </w:pPr>
      <w:r w:rsidRPr="003273CC">
        <w:rPr>
          <w:rFonts w:ascii="Arial" w:hAnsi="Arial"/>
          <w:b/>
          <w:u w:val="single"/>
        </w:rPr>
        <w:t>Attachment 1</w:t>
      </w:r>
    </w:p>
    <w:p w:rsidR="00DD7405" w:rsidRDefault="00DD7405" w:rsidP="00337928">
      <w:pPr>
        <w:rPr>
          <w:rFonts w:ascii="Arial" w:hAnsi="Arial"/>
        </w:rPr>
      </w:pPr>
    </w:p>
    <w:p w:rsidR="00DD7405" w:rsidRPr="004C1D31" w:rsidRDefault="00C14736" w:rsidP="004C1D31">
      <w:pPr>
        <w:jc w:val="center"/>
        <w:rPr>
          <w:rFonts w:ascii="Arial" w:hAnsi="Arial"/>
          <w:b/>
        </w:rPr>
      </w:pPr>
      <w:r>
        <w:rPr>
          <w:rFonts w:ascii="Arial" w:hAnsi="Arial"/>
          <w:b/>
        </w:rPr>
        <w:t>Registration for</w:t>
      </w:r>
      <w:r w:rsidR="00DD7405" w:rsidRPr="004C1D31">
        <w:rPr>
          <w:rFonts w:ascii="Arial" w:hAnsi="Arial"/>
          <w:b/>
        </w:rPr>
        <w:t xml:space="preserve"> Dynamic Transfer Capa</w:t>
      </w:r>
      <w:r>
        <w:rPr>
          <w:rFonts w:ascii="Arial" w:hAnsi="Arial"/>
          <w:b/>
        </w:rPr>
        <w:t>bility</w:t>
      </w:r>
      <w:r w:rsidR="00DD7405" w:rsidRPr="004C1D31">
        <w:rPr>
          <w:rFonts w:ascii="Arial" w:hAnsi="Arial"/>
          <w:b/>
        </w:rPr>
        <w:t xml:space="preserve"> on the COI</w:t>
      </w:r>
    </w:p>
    <w:p w:rsidR="00DD7405" w:rsidRDefault="00DD7405" w:rsidP="00337928">
      <w:pPr>
        <w:rPr>
          <w:rFonts w:ascii="Arial" w:hAnsi="Arial"/>
        </w:rPr>
      </w:pPr>
    </w:p>
    <w:p w:rsidR="004C1D31" w:rsidRDefault="004C1D31" w:rsidP="00337928">
      <w:pPr>
        <w:rPr>
          <w:rFonts w:ascii="Arial" w:hAnsi="Arial"/>
        </w:rPr>
      </w:pPr>
    </w:p>
    <w:p w:rsidR="00DD7405" w:rsidRDefault="00DD7405" w:rsidP="0043564C">
      <w:pPr>
        <w:ind w:left="450"/>
        <w:rPr>
          <w:rFonts w:ascii="Arial" w:hAnsi="Arial"/>
          <w:sz w:val="16"/>
          <w:szCs w:val="16"/>
        </w:rPr>
      </w:pPr>
      <w:r w:rsidRPr="00C14736">
        <w:rPr>
          <w:rFonts w:ascii="Arial" w:hAnsi="Arial"/>
          <w:sz w:val="16"/>
          <w:szCs w:val="16"/>
        </w:rPr>
        <w:t xml:space="preserve">This </w:t>
      </w:r>
      <w:r w:rsidR="00C14736" w:rsidRPr="00C14736">
        <w:rPr>
          <w:rFonts w:ascii="Arial" w:hAnsi="Arial"/>
          <w:sz w:val="16"/>
          <w:szCs w:val="16"/>
        </w:rPr>
        <w:t>registration must be completed</w:t>
      </w:r>
      <w:r w:rsidRPr="00C14736">
        <w:rPr>
          <w:rFonts w:ascii="Arial" w:hAnsi="Arial"/>
          <w:sz w:val="16"/>
          <w:szCs w:val="16"/>
        </w:rPr>
        <w:t xml:space="preserve"> </w:t>
      </w:r>
      <w:r w:rsidR="004C1D31" w:rsidRPr="00C14736">
        <w:rPr>
          <w:rFonts w:ascii="Arial" w:hAnsi="Arial"/>
          <w:sz w:val="16"/>
          <w:szCs w:val="16"/>
        </w:rPr>
        <w:t>by</w:t>
      </w:r>
      <w:r w:rsidRPr="00C14736">
        <w:rPr>
          <w:rFonts w:ascii="Arial" w:hAnsi="Arial"/>
          <w:sz w:val="16"/>
          <w:szCs w:val="16"/>
        </w:rPr>
        <w:t xml:space="preserve"> a </w:t>
      </w:r>
      <w:r w:rsidR="004C1D31" w:rsidRPr="00C14736">
        <w:rPr>
          <w:rFonts w:ascii="Arial" w:hAnsi="Arial"/>
          <w:sz w:val="16"/>
          <w:szCs w:val="16"/>
        </w:rPr>
        <w:t xml:space="preserve">current </w:t>
      </w:r>
      <w:r w:rsidRPr="00C14736">
        <w:rPr>
          <w:rFonts w:ascii="Arial" w:hAnsi="Arial"/>
          <w:sz w:val="16"/>
          <w:szCs w:val="16"/>
        </w:rPr>
        <w:t xml:space="preserve">PGE Customer of Firm Point-to-Point Transmission Service that plans to utilize Dynamic Transfers on PGE ownership share of the </w:t>
      </w:r>
      <w:proofErr w:type="spellStart"/>
      <w:r w:rsidRPr="00C14736">
        <w:rPr>
          <w:rFonts w:ascii="Arial" w:hAnsi="Arial"/>
          <w:sz w:val="16"/>
          <w:szCs w:val="16"/>
        </w:rPr>
        <w:t>JohnDay</w:t>
      </w:r>
      <w:proofErr w:type="spellEnd"/>
      <w:r w:rsidRPr="00C14736">
        <w:rPr>
          <w:rFonts w:ascii="Arial" w:hAnsi="Arial"/>
          <w:sz w:val="16"/>
          <w:szCs w:val="16"/>
        </w:rPr>
        <w:t xml:space="preserve"> to COB or PGE to COB posted paths.  </w:t>
      </w:r>
      <w:r w:rsidR="004C1D31" w:rsidRPr="00C14736">
        <w:rPr>
          <w:rFonts w:ascii="Arial" w:hAnsi="Arial"/>
          <w:sz w:val="16"/>
          <w:szCs w:val="16"/>
        </w:rPr>
        <w:t xml:space="preserve">The information identified below allows the PGE BA to establish the necessary </w:t>
      </w:r>
      <w:r w:rsidR="002E5C6A" w:rsidRPr="00C14736">
        <w:rPr>
          <w:rFonts w:ascii="Arial" w:hAnsi="Arial"/>
          <w:sz w:val="16"/>
          <w:szCs w:val="16"/>
        </w:rPr>
        <w:t>communications between S</w:t>
      </w:r>
      <w:r w:rsidR="004C1D31" w:rsidRPr="00C14736">
        <w:rPr>
          <w:rFonts w:ascii="Arial" w:hAnsi="Arial"/>
          <w:sz w:val="16"/>
          <w:szCs w:val="16"/>
        </w:rPr>
        <w:t xml:space="preserve">ource BA, Sink BA, BPA BA, and the </w:t>
      </w:r>
      <w:r w:rsidR="000F71ED">
        <w:rPr>
          <w:rFonts w:ascii="Arial" w:hAnsi="Arial"/>
          <w:sz w:val="16"/>
          <w:szCs w:val="16"/>
        </w:rPr>
        <w:t>T</w:t>
      </w:r>
      <w:r w:rsidR="004C1D31" w:rsidRPr="00C14736">
        <w:rPr>
          <w:rFonts w:ascii="Arial" w:hAnsi="Arial"/>
          <w:sz w:val="16"/>
          <w:szCs w:val="16"/>
        </w:rPr>
        <w:t xml:space="preserve">ransmission </w:t>
      </w:r>
      <w:r w:rsidR="000F71ED">
        <w:rPr>
          <w:rFonts w:ascii="Arial" w:hAnsi="Arial"/>
          <w:sz w:val="16"/>
          <w:szCs w:val="16"/>
        </w:rPr>
        <w:t>C</w:t>
      </w:r>
      <w:r w:rsidR="004C1D31" w:rsidRPr="00C14736">
        <w:rPr>
          <w:rFonts w:ascii="Arial" w:hAnsi="Arial"/>
          <w:sz w:val="16"/>
          <w:szCs w:val="16"/>
        </w:rPr>
        <w:t>ustomer with the PGE BA.</w:t>
      </w:r>
    </w:p>
    <w:p w:rsidR="00436A9C" w:rsidRDefault="00436A9C" w:rsidP="00337928">
      <w:pPr>
        <w:rPr>
          <w:rFonts w:ascii="Arial" w:hAnsi="Arial"/>
          <w:sz w:val="16"/>
          <w:szCs w:val="16"/>
        </w:rPr>
      </w:pPr>
    </w:p>
    <w:p w:rsidR="004C1D31" w:rsidRPr="00436A9C" w:rsidRDefault="00436A9C" w:rsidP="0043564C">
      <w:pPr>
        <w:ind w:left="450"/>
        <w:rPr>
          <w:rFonts w:ascii="Arial" w:hAnsi="Arial" w:cs="Arial"/>
          <w:b/>
          <w:sz w:val="16"/>
          <w:szCs w:val="16"/>
          <w:u w:val="single"/>
        </w:rPr>
      </w:pPr>
      <w:r w:rsidRPr="00436A9C">
        <w:rPr>
          <w:rFonts w:ascii="Arial" w:hAnsi="Arial" w:cs="Arial"/>
          <w:b/>
          <w:sz w:val="16"/>
          <w:szCs w:val="16"/>
          <w:u w:val="single"/>
        </w:rPr>
        <w:t>Customer Information</w:t>
      </w:r>
    </w:p>
    <w:tbl>
      <w:tblPr>
        <w:tblW w:w="6507" w:type="dxa"/>
        <w:tblInd w:w="891" w:type="dxa"/>
        <w:tblLook w:val="01E0" w:firstRow="1" w:lastRow="1" w:firstColumn="1" w:lastColumn="1" w:noHBand="0" w:noVBand="0"/>
      </w:tblPr>
      <w:tblGrid>
        <w:gridCol w:w="2187"/>
        <w:gridCol w:w="1980"/>
        <w:gridCol w:w="2340"/>
      </w:tblGrid>
      <w:tr w:rsidR="00436A9C" w:rsidRPr="00436A9C" w:rsidTr="0043564C">
        <w:trPr>
          <w:trHeight w:val="181"/>
        </w:trPr>
        <w:tc>
          <w:tcPr>
            <w:tcW w:w="2187" w:type="dxa"/>
            <w:vAlign w:val="bottom"/>
          </w:tcPr>
          <w:p w:rsidR="00436A9C" w:rsidRPr="00436A9C" w:rsidRDefault="00436A9C" w:rsidP="00ED0FDA">
            <w:pPr>
              <w:pStyle w:val="body"/>
              <w:rPr>
                <w:rFonts w:ascii="Arial" w:hAnsi="Arial" w:cs="Arial"/>
                <w:sz w:val="16"/>
                <w:szCs w:val="16"/>
              </w:rPr>
            </w:pPr>
            <w:r w:rsidRPr="00436A9C">
              <w:rPr>
                <w:rFonts w:ascii="Arial" w:hAnsi="Arial" w:cs="Arial"/>
                <w:sz w:val="16"/>
                <w:szCs w:val="16"/>
              </w:rPr>
              <w:t>Company</w:t>
            </w:r>
          </w:p>
        </w:tc>
        <w:tc>
          <w:tcPr>
            <w:tcW w:w="4320" w:type="dxa"/>
            <w:gridSpan w:val="2"/>
            <w:tcBorders>
              <w:bottom w:val="single" w:sz="2" w:space="0" w:color="999999"/>
            </w:tcBorders>
            <w:vAlign w:val="bottom"/>
          </w:tcPr>
          <w:p w:rsidR="00436A9C" w:rsidRPr="00436A9C" w:rsidRDefault="00436A9C" w:rsidP="00ED0FDA">
            <w:pPr>
              <w:pStyle w:val="body"/>
              <w:rPr>
                <w:rFonts w:ascii="Arial" w:hAnsi="Arial" w:cs="Arial"/>
                <w:sz w:val="16"/>
                <w:szCs w:val="16"/>
              </w:rPr>
            </w:pPr>
          </w:p>
        </w:tc>
      </w:tr>
      <w:tr w:rsidR="00436A9C" w:rsidRPr="00436A9C" w:rsidTr="0043564C">
        <w:trPr>
          <w:trHeight w:val="181"/>
        </w:trPr>
        <w:tc>
          <w:tcPr>
            <w:tcW w:w="2187" w:type="dxa"/>
            <w:vAlign w:val="bottom"/>
          </w:tcPr>
          <w:p w:rsidR="00436A9C" w:rsidRPr="00436A9C" w:rsidRDefault="00436A9C" w:rsidP="00ED0FDA">
            <w:pPr>
              <w:pStyle w:val="body"/>
              <w:rPr>
                <w:rFonts w:ascii="Arial" w:hAnsi="Arial" w:cs="Arial"/>
                <w:sz w:val="16"/>
                <w:szCs w:val="16"/>
              </w:rPr>
            </w:pPr>
            <w:r w:rsidRPr="00436A9C">
              <w:rPr>
                <w:rFonts w:ascii="Arial" w:hAnsi="Arial" w:cs="Arial"/>
                <w:sz w:val="16"/>
                <w:szCs w:val="16"/>
              </w:rPr>
              <w:t>Contact Name</w:t>
            </w:r>
          </w:p>
        </w:tc>
        <w:tc>
          <w:tcPr>
            <w:tcW w:w="4320" w:type="dxa"/>
            <w:gridSpan w:val="2"/>
            <w:tcBorders>
              <w:bottom w:val="single" w:sz="2" w:space="0" w:color="999999"/>
            </w:tcBorders>
            <w:vAlign w:val="bottom"/>
          </w:tcPr>
          <w:p w:rsidR="00436A9C" w:rsidRPr="00436A9C" w:rsidRDefault="00436A9C" w:rsidP="00ED0FDA">
            <w:pPr>
              <w:pStyle w:val="body"/>
              <w:rPr>
                <w:rFonts w:ascii="Arial" w:hAnsi="Arial" w:cs="Arial"/>
                <w:sz w:val="16"/>
                <w:szCs w:val="16"/>
              </w:rPr>
            </w:pPr>
          </w:p>
        </w:tc>
      </w:tr>
      <w:tr w:rsidR="00436A9C" w:rsidRPr="00436A9C" w:rsidTr="0043564C">
        <w:trPr>
          <w:trHeight w:val="181"/>
        </w:trPr>
        <w:tc>
          <w:tcPr>
            <w:tcW w:w="2187" w:type="dxa"/>
            <w:vAlign w:val="bottom"/>
          </w:tcPr>
          <w:p w:rsidR="00436A9C" w:rsidRPr="00436A9C" w:rsidRDefault="00436A9C" w:rsidP="00ED0FDA">
            <w:pPr>
              <w:pStyle w:val="body"/>
              <w:rPr>
                <w:rFonts w:ascii="Arial" w:hAnsi="Arial" w:cs="Arial"/>
                <w:sz w:val="16"/>
                <w:szCs w:val="16"/>
              </w:rPr>
            </w:pPr>
            <w:r w:rsidRPr="00436A9C">
              <w:rPr>
                <w:rFonts w:ascii="Arial" w:hAnsi="Arial" w:cs="Arial"/>
                <w:sz w:val="16"/>
                <w:szCs w:val="16"/>
              </w:rPr>
              <w:t>Contact Phone</w:t>
            </w:r>
          </w:p>
        </w:tc>
        <w:tc>
          <w:tcPr>
            <w:tcW w:w="4320" w:type="dxa"/>
            <w:gridSpan w:val="2"/>
            <w:tcBorders>
              <w:top w:val="single" w:sz="2" w:space="0" w:color="999999"/>
              <w:bottom w:val="single" w:sz="2" w:space="0" w:color="999999"/>
            </w:tcBorders>
            <w:vAlign w:val="bottom"/>
          </w:tcPr>
          <w:p w:rsidR="00436A9C" w:rsidRPr="00436A9C" w:rsidRDefault="00436A9C" w:rsidP="00ED0FDA">
            <w:pPr>
              <w:pStyle w:val="body"/>
              <w:rPr>
                <w:rFonts w:ascii="Arial" w:hAnsi="Arial" w:cs="Arial"/>
                <w:sz w:val="16"/>
                <w:szCs w:val="16"/>
              </w:rPr>
            </w:pPr>
          </w:p>
        </w:tc>
      </w:tr>
      <w:tr w:rsidR="00436A9C" w:rsidRPr="00436A9C" w:rsidTr="0043564C">
        <w:trPr>
          <w:trHeight w:val="181"/>
        </w:trPr>
        <w:tc>
          <w:tcPr>
            <w:tcW w:w="2187" w:type="dxa"/>
            <w:vAlign w:val="bottom"/>
          </w:tcPr>
          <w:p w:rsidR="00436A9C" w:rsidRPr="00436A9C" w:rsidRDefault="00436A9C" w:rsidP="00ED0FDA">
            <w:pPr>
              <w:pStyle w:val="body"/>
              <w:rPr>
                <w:rFonts w:ascii="Arial" w:hAnsi="Arial" w:cs="Arial"/>
                <w:sz w:val="16"/>
                <w:szCs w:val="16"/>
              </w:rPr>
            </w:pPr>
            <w:r w:rsidRPr="00436A9C">
              <w:rPr>
                <w:rFonts w:ascii="Arial" w:hAnsi="Arial" w:cs="Arial"/>
                <w:sz w:val="16"/>
                <w:szCs w:val="16"/>
              </w:rPr>
              <w:t>Contact E-mail</w:t>
            </w:r>
          </w:p>
        </w:tc>
        <w:tc>
          <w:tcPr>
            <w:tcW w:w="4320" w:type="dxa"/>
            <w:gridSpan w:val="2"/>
            <w:tcBorders>
              <w:bottom w:val="single" w:sz="2" w:space="0" w:color="999999"/>
            </w:tcBorders>
            <w:vAlign w:val="bottom"/>
          </w:tcPr>
          <w:p w:rsidR="00436A9C" w:rsidRPr="00436A9C" w:rsidRDefault="00436A9C" w:rsidP="00ED0FDA">
            <w:pPr>
              <w:pStyle w:val="body"/>
              <w:rPr>
                <w:rFonts w:ascii="Arial" w:hAnsi="Arial" w:cs="Arial"/>
                <w:sz w:val="16"/>
                <w:szCs w:val="16"/>
              </w:rPr>
            </w:pPr>
          </w:p>
        </w:tc>
      </w:tr>
      <w:tr w:rsidR="00436A9C" w:rsidRPr="00436A9C" w:rsidTr="0043564C">
        <w:trPr>
          <w:trHeight w:val="181"/>
        </w:trPr>
        <w:tc>
          <w:tcPr>
            <w:tcW w:w="2187" w:type="dxa"/>
            <w:vAlign w:val="bottom"/>
          </w:tcPr>
          <w:p w:rsidR="00436A9C" w:rsidRPr="00436A9C" w:rsidRDefault="00436A9C" w:rsidP="00ED0FDA">
            <w:pPr>
              <w:pStyle w:val="body"/>
              <w:rPr>
                <w:rFonts w:ascii="Arial" w:hAnsi="Arial" w:cs="Arial"/>
                <w:sz w:val="16"/>
                <w:szCs w:val="16"/>
              </w:rPr>
            </w:pPr>
            <w:r w:rsidRPr="00436A9C">
              <w:rPr>
                <w:rFonts w:ascii="Arial" w:hAnsi="Arial" w:cs="Arial"/>
                <w:sz w:val="16"/>
                <w:szCs w:val="16"/>
              </w:rPr>
              <w:t>24 Hour Contact</w:t>
            </w:r>
          </w:p>
        </w:tc>
        <w:tc>
          <w:tcPr>
            <w:tcW w:w="4320" w:type="dxa"/>
            <w:gridSpan w:val="2"/>
            <w:tcBorders>
              <w:bottom w:val="single" w:sz="2" w:space="0" w:color="999999"/>
            </w:tcBorders>
            <w:vAlign w:val="bottom"/>
          </w:tcPr>
          <w:p w:rsidR="00436A9C" w:rsidRPr="00436A9C" w:rsidRDefault="00436A9C" w:rsidP="00ED0FDA">
            <w:pPr>
              <w:pStyle w:val="body"/>
              <w:rPr>
                <w:rFonts w:ascii="Arial" w:hAnsi="Arial" w:cs="Arial"/>
                <w:sz w:val="16"/>
                <w:szCs w:val="16"/>
              </w:rPr>
            </w:pPr>
          </w:p>
        </w:tc>
      </w:tr>
      <w:tr w:rsidR="0043564C" w:rsidRPr="00436A9C" w:rsidTr="0043564C">
        <w:trPr>
          <w:trHeight w:val="181"/>
        </w:trPr>
        <w:tc>
          <w:tcPr>
            <w:tcW w:w="2187" w:type="dxa"/>
            <w:vAlign w:val="bottom"/>
          </w:tcPr>
          <w:p w:rsidR="0043564C" w:rsidRPr="00436A9C" w:rsidRDefault="0043564C" w:rsidP="00ED0FDA">
            <w:pPr>
              <w:pStyle w:val="body"/>
              <w:rPr>
                <w:rFonts w:ascii="Arial" w:hAnsi="Arial" w:cs="Arial"/>
                <w:sz w:val="16"/>
                <w:szCs w:val="16"/>
              </w:rPr>
            </w:pPr>
            <w:r>
              <w:rPr>
                <w:rFonts w:ascii="Arial" w:hAnsi="Arial" w:cs="Arial"/>
                <w:sz w:val="16"/>
                <w:szCs w:val="16"/>
              </w:rPr>
              <w:t>24 Hour Contact Phone</w:t>
            </w:r>
          </w:p>
        </w:tc>
        <w:tc>
          <w:tcPr>
            <w:tcW w:w="4320" w:type="dxa"/>
            <w:gridSpan w:val="2"/>
            <w:tcBorders>
              <w:bottom w:val="single" w:sz="2" w:space="0" w:color="999999"/>
            </w:tcBorders>
            <w:vAlign w:val="bottom"/>
          </w:tcPr>
          <w:p w:rsidR="0043564C" w:rsidRPr="00436A9C" w:rsidRDefault="0043564C" w:rsidP="00ED0FDA">
            <w:pPr>
              <w:pStyle w:val="body"/>
              <w:rPr>
                <w:rFonts w:ascii="Arial" w:hAnsi="Arial" w:cs="Arial"/>
                <w:sz w:val="16"/>
                <w:szCs w:val="16"/>
              </w:rPr>
            </w:pPr>
          </w:p>
        </w:tc>
      </w:tr>
      <w:tr w:rsidR="00436A9C" w:rsidRPr="00436A9C" w:rsidTr="0043564C">
        <w:trPr>
          <w:trHeight w:val="181"/>
        </w:trPr>
        <w:tc>
          <w:tcPr>
            <w:tcW w:w="4167" w:type="dxa"/>
            <w:gridSpan w:val="2"/>
            <w:vAlign w:val="bottom"/>
          </w:tcPr>
          <w:p w:rsidR="00436A9C" w:rsidRPr="00436A9C" w:rsidRDefault="00436A9C" w:rsidP="00ED0FDA">
            <w:pPr>
              <w:pStyle w:val="body"/>
              <w:rPr>
                <w:rFonts w:ascii="Arial" w:hAnsi="Arial" w:cs="Arial"/>
                <w:sz w:val="16"/>
                <w:szCs w:val="16"/>
              </w:rPr>
            </w:pPr>
            <w:r w:rsidRPr="00436A9C">
              <w:rPr>
                <w:rFonts w:ascii="Arial" w:hAnsi="Arial" w:cs="Arial"/>
                <w:sz w:val="16"/>
                <w:szCs w:val="16"/>
              </w:rPr>
              <w:t>A-Ref # of Firm Point-to-Point Transmission</w:t>
            </w:r>
          </w:p>
        </w:tc>
        <w:tc>
          <w:tcPr>
            <w:tcW w:w="2340" w:type="dxa"/>
            <w:tcBorders>
              <w:bottom w:val="single" w:sz="2" w:space="0" w:color="999999"/>
            </w:tcBorders>
            <w:vAlign w:val="bottom"/>
          </w:tcPr>
          <w:p w:rsidR="00436A9C" w:rsidRPr="00436A9C" w:rsidRDefault="00436A9C" w:rsidP="00ED0FDA">
            <w:pPr>
              <w:pStyle w:val="body"/>
              <w:rPr>
                <w:rFonts w:ascii="Arial" w:hAnsi="Arial" w:cs="Arial"/>
                <w:sz w:val="16"/>
                <w:szCs w:val="16"/>
              </w:rPr>
            </w:pPr>
          </w:p>
        </w:tc>
      </w:tr>
    </w:tbl>
    <w:p w:rsidR="001F119B" w:rsidRPr="00436A9C" w:rsidRDefault="001F119B" w:rsidP="00337928">
      <w:pPr>
        <w:rPr>
          <w:rFonts w:ascii="Arial" w:hAnsi="Arial" w:cs="Arial"/>
          <w:sz w:val="16"/>
          <w:szCs w:val="16"/>
        </w:rPr>
      </w:pPr>
    </w:p>
    <w:p w:rsidR="00C14736" w:rsidRPr="00436A9C" w:rsidRDefault="00C14736" w:rsidP="00337928">
      <w:pPr>
        <w:rPr>
          <w:rFonts w:ascii="Arial" w:hAnsi="Arial" w:cs="Arial"/>
          <w:sz w:val="16"/>
          <w:szCs w:val="16"/>
          <w:u w:val="single"/>
        </w:rPr>
      </w:pPr>
    </w:p>
    <w:p w:rsidR="0054107D" w:rsidRPr="00436A9C" w:rsidRDefault="0054107D" w:rsidP="0043564C">
      <w:pPr>
        <w:ind w:left="450"/>
        <w:rPr>
          <w:rFonts w:ascii="Arial" w:hAnsi="Arial" w:cs="Arial"/>
          <w:b/>
          <w:sz w:val="16"/>
          <w:szCs w:val="16"/>
          <w:u w:val="single"/>
        </w:rPr>
      </w:pPr>
      <w:r w:rsidRPr="00436A9C">
        <w:rPr>
          <w:rFonts w:ascii="Arial" w:hAnsi="Arial" w:cs="Arial"/>
          <w:b/>
          <w:sz w:val="16"/>
          <w:szCs w:val="16"/>
          <w:u w:val="single"/>
        </w:rPr>
        <w:t xml:space="preserve">Source BA Information </w:t>
      </w:r>
    </w:p>
    <w:tbl>
      <w:tblPr>
        <w:tblW w:w="6641" w:type="dxa"/>
        <w:tblInd w:w="847" w:type="dxa"/>
        <w:tblLook w:val="01E0" w:firstRow="1" w:lastRow="1" w:firstColumn="1" w:lastColumn="1" w:noHBand="0" w:noVBand="0"/>
      </w:tblPr>
      <w:tblGrid>
        <w:gridCol w:w="2321"/>
        <w:gridCol w:w="990"/>
        <w:gridCol w:w="3330"/>
      </w:tblGrid>
      <w:tr w:rsidR="00436A9C" w:rsidRPr="00436A9C" w:rsidTr="0043564C">
        <w:trPr>
          <w:trHeight w:val="181"/>
        </w:trPr>
        <w:tc>
          <w:tcPr>
            <w:tcW w:w="3311" w:type="dxa"/>
            <w:gridSpan w:val="2"/>
            <w:vAlign w:val="bottom"/>
          </w:tcPr>
          <w:p w:rsidR="00436A9C" w:rsidRPr="00436A9C" w:rsidRDefault="00436A9C" w:rsidP="00ED0FDA">
            <w:pPr>
              <w:pStyle w:val="body"/>
              <w:rPr>
                <w:rFonts w:ascii="Arial" w:hAnsi="Arial" w:cs="Arial"/>
                <w:sz w:val="16"/>
                <w:szCs w:val="16"/>
              </w:rPr>
            </w:pPr>
            <w:r w:rsidRPr="00436A9C">
              <w:rPr>
                <w:rFonts w:ascii="Arial" w:hAnsi="Arial" w:cs="Arial"/>
                <w:sz w:val="16"/>
                <w:szCs w:val="16"/>
              </w:rPr>
              <w:t>Source BA of Dynamic Transfer</w:t>
            </w:r>
          </w:p>
        </w:tc>
        <w:tc>
          <w:tcPr>
            <w:tcW w:w="3330" w:type="dxa"/>
            <w:tcBorders>
              <w:bottom w:val="single" w:sz="2" w:space="0" w:color="999999"/>
            </w:tcBorders>
            <w:vAlign w:val="bottom"/>
          </w:tcPr>
          <w:p w:rsidR="00436A9C" w:rsidRPr="00436A9C" w:rsidRDefault="00436A9C" w:rsidP="00ED0FDA">
            <w:pPr>
              <w:pStyle w:val="body"/>
              <w:rPr>
                <w:rFonts w:ascii="Arial" w:hAnsi="Arial" w:cs="Arial"/>
                <w:sz w:val="16"/>
                <w:szCs w:val="16"/>
              </w:rPr>
            </w:pPr>
          </w:p>
        </w:tc>
      </w:tr>
      <w:tr w:rsidR="00436A9C" w:rsidRPr="00436A9C" w:rsidTr="0043564C">
        <w:trPr>
          <w:trHeight w:val="181"/>
        </w:trPr>
        <w:tc>
          <w:tcPr>
            <w:tcW w:w="2321" w:type="dxa"/>
            <w:vAlign w:val="bottom"/>
          </w:tcPr>
          <w:p w:rsidR="00436A9C" w:rsidRPr="00436A9C" w:rsidRDefault="00436A9C" w:rsidP="00ED0FDA">
            <w:pPr>
              <w:pStyle w:val="body"/>
              <w:rPr>
                <w:rFonts w:ascii="Arial" w:hAnsi="Arial" w:cs="Arial"/>
                <w:sz w:val="16"/>
                <w:szCs w:val="16"/>
              </w:rPr>
            </w:pPr>
            <w:r w:rsidRPr="00436A9C">
              <w:rPr>
                <w:rFonts w:ascii="Arial" w:hAnsi="Arial" w:cs="Arial"/>
                <w:sz w:val="16"/>
                <w:szCs w:val="16"/>
              </w:rPr>
              <w:t>Source Generator</w:t>
            </w:r>
          </w:p>
        </w:tc>
        <w:tc>
          <w:tcPr>
            <w:tcW w:w="4320" w:type="dxa"/>
            <w:gridSpan w:val="2"/>
            <w:tcBorders>
              <w:bottom w:val="single" w:sz="2" w:space="0" w:color="999999"/>
            </w:tcBorders>
            <w:vAlign w:val="bottom"/>
          </w:tcPr>
          <w:p w:rsidR="00436A9C" w:rsidRPr="00436A9C" w:rsidRDefault="00436A9C" w:rsidP="00ED0FDA">
            <w:pPr>
              <w:pStyle w:val="body"/>
              <w:rPr>
                <w:rFonts w:ascii="Arial" w:hAnsi="Arial" w:cs="Arial"/>
                <w:sz w:val="16"/>
                <w:szCs w:val="16"/>
              </w:rPr>
            </w:pPr>
          </w:p>
        </w:tc>
      </w:tr>
      <w:tr w:rsidR="00436A9C" w:rsidRPr="00436A9C" w:rsidTr="0043564C">
        <w:trPr>
          <w:trHeight w:val="181"/>
        </w:trPr>
        <w:tc>
          <w:tcPr>
            <w:tcW w:w="2321" w:type="dxa"/>
            <w:vAlign w:val="bottom"/>
          </w:tcPr>
          <w:p w:rsidR="00436A9C" w:rsidRPr="00436A9C" w:rsidRDefault="000F71ED" w:rsidP="000F71ED">
            <w:pPr>
              <w:pStyle w:val="body"/>
              <w:rPr>
                <w:rFonts w:ascii="Arial" w:hAnsi="Arial" w:cs="Arial"/>
                <w:sz w:val="16"/>
                <w:szCs w:val="16"/>
              </w:rPr>
            </w:pPr>
            <w:r>
              <w:rPr>
                <w:rFonts w:ascii="Arial" w:hAnsi="Arial" w:cs="Arial"/>
                <w:sz w:val="16"/>
                <w:szCs w:val="16"/>
              </w:rPr>
              <w:t>Source BA Contact Name</w:t>
            </w:r>
          </w:p>
        </w:tc>
        <w:tc>
          <w:tcPr>
            <w:tcW w:w="4320" w:type="dxa"/>
            <w:gridSpan w:val="2"/>
            <w:tcBorders>
              <w:top w:val="single" w:sz="2" w:space="0" w:color="999999"/>
              <w:bottom w:val="single" w:sz="2" w:space="0" w:color="999999"/>
            </w:tcBorders>
            <w:vAlign w:val="bottom"/>
          </w:tcPr>
          <w:p w:rsidR="00436A9C" w:rsidRPr="00436A9C" w:rsidRDefault="00436A9C" w:rsidP="0043564C">
            <w:pPr>
              <w:pStyle w:val="body"/>
              <w:ind w:left="125"/>
              <w:rPr>
                <w:rFonts w:ascii="Arial" w:hAnsi="Arial" w:cs="Arial"/>
                <w:sz w:val="16"/>
                <w:szCs w:val="16"/>
              </w:rPr>
            </w:pPr>
          </w:p>
        </w:tc>
      </w:tr>
      <w:tr w:rsidR="000F71ED" w:rsidRPr="00436A9C" w:rsidTr="0043564C">
        <w:trPr>
          <w:trHeight w:val="181"/>
        </w:trPr>
        <w:tc>
          <w:tcPr>
            <w:tcW w:w="2321" w:type="dxa"/>
            <w:vAlign w:val="bottom"/>
          </w:tcPr>
          <w:p w:rsidR="000F71ED" w:rsidRPr="00436A9C" w:rsidRDefault="000F71ED" w:rsidP="0016740B">
            <w:pPr>
              <w:pStyle w:val="body"/>
              <w:rPr>
                <w:rFonts w:ascii="Arial" w:hAnsi="Arial" w:cs="Arial"/>
                <w:sz w:val="16"/>
                <w:szCs w:val="16"/>
              </w:rPr>
            </w:pPr>
            <w:r>
              <w:rPr>
                <w:rFonts w:ascii="Arial" w:hAnsi="Arial" w:cs="Arial"/>
                <w:sz w:val="16"/>
                <w:szCs w:val="16"/>
              </w:rPr>
              <w:t>Contact Phone</w:t>
            </w:r>
          </w:p>
        </w:tc>
        <w:tc>
          <w:tcPr>
            <w:tcW w:w="4320" w:type="dxa"/>
            <w:gridSpan w:val="2"/>
            <w:tcBorders>
              <w:top w:val="single" w:sz="2" w:space="0" w:color="999999"/>
              <w:bottom w:val="single" w:sz="2" w:space="0" w:color="999999"/>
            </w:tcBorders>
            <w:vAlign w:val="bottom"/>
          </w:tcPr>
          <w:p w:rsidR="000F71ED" w:rsidRPr="00436A9C" w:rsidRDefault="000F71ED" w:rsidP="0016740B">
            <w:pPr>
              <w:pStyle w:val="body"/>
              <w:rPr>
                <w:rFonts w:ascii="Arial" w:hAnsi="Arial" w:cs="Arial"/>
                <w:sz w:val="16"/>
                <w:szCs w:val="16"/>
              </w:rPr>
            </w:pPr>
          </w:p>
        </w:tc>
      </w:tr>
      <w:tr w:rsidR="000F71ED" w:rsidRPr="00436A9C" w:rsidTr="0043564C">
        <w:trPr>
          <w:trHeight w:val="181"/>
        </w:trPr>
        <w:tc>
          <w:tcPr>
            <w:tcW w:w="2321" w:type="dxa"/>
            <w:vAlign w:val="bottom"/>
          </w:tcPr>
          <w:p w:rsidR="000F71ED" w:rsidRPr="00436A9C" w:rsidRDefault="000F71ED" w:rsidP="0016740B">
            <w:pPr>
              <w:pStyle w:val="body"/>
              <w:rPr>
                <w:rFonts w:ascii="Arial" w:hAnsi="Arial" w:cs="Arial"/>
                <w:sz w:val="16"/>
                <w:szCs w:val="16"/>
              </w:rPr>
            </w:pPr>
            <w:r>
              <w:rPr>
                <w:rFonts w:ascii="Arial" w:hAnsi="Arial" w:cs="Arial"/>
                <w:sz w:val="16"/>
                <w:szCs w:val="16"/>
              </w:rPr>
              <w:t>Contact Email</w:t>
            </w:r>
          </w:p>
        </w:tc>
        <w:tc>
          <w:tcPr>
            <w:tcW w:w="4320" w:type="dxa"/>
            <w:gridSpan w:val="2"/>
            <w:tcBorders>
              <w:top w:val="single" w:sz="2" w:space="0" w:color="999999"/>
              <w:bottom w:val="single" w:sz="2" w:space="0" w:color="999999"/>
            </w:tcBorders>
            <w:vAlign w:val="bottom"/>
          </w:tcPr>
          <w:p w:rsidR="000F71ED" w:rsidRPr="00436A9C" w:rsidRDefault="000F71ED" w:rsidP="0016740B">
            <w:pPr>
              <w:pStyle w:val="body"/>
              <w:rPr>
                <w:rFonts w:ascii="Arial" w:hAnsi="Arial" w:cs="Arial"/>
                <w:sz w:val="16"/>
                <w:szCs w:val="16"/>
              </w:rPr>
            </w:pPr>
          </w:p>
        </w:tc>
      </w:tr>
    </w:tbl>
    <w:p w:rsidR="001F119B" w:rsidRPr="00436A9C" w:rsidRDefault="001F119B" w:rsidP="00337928">
      <w:pPr>
        <w:rPr>
          <w:rFonts w:ascii="Arial" w:hAnsi="Arial" w:cs="Arial"/>
          <w:sz w:val="16"/>
          <w:szCs w:val="16"/>
        </w:rPr>
      </w:pPr>
    </w:p>
    <w:p w:rsidR="00C14736" w:rsidRPr="00436A9C" w:rsidRDefault="00C14736" w:rsidP="00337928">
      <w:pPr>
        <w:rPr>
          <w:rFonts w:ascii="Arial" w:hAnsi="Arial" w:cs="Arial"/>
          <w:sz w:val="16"/>
          <w:szCs w:val="16"/>
          <w:u w:val="single"/>
        </w:rPr>
      </w:pPr>
    </w:p>
    <w:p w:rsidR="0054107D" w:rsidRPr="00436A9C" w:rsidRDefault="0054107D" w:rsidP="0043564C">
      <w:pPr>
        <w:ind w:left="450"/>
        <w:rPr>
          <w:rFonts w:ascii="Arial" w:hAnsi="Arial" w:cs="Arial"/>
          <w:b/>
          <w:sz w:val="16"/>
          <w:szCs w:val="16"/>
          <w:u w:val="single"/>
        </w:rPr>
      </w:pPr>
      <w:r w:rsidRPr="00436A9C">
        <w:rPr>
          <w:rFonts w:ascii="Arial" w:hAnsi="Arial" w:cs="Arial"/>
          <w:b/>
          <w:sz w:val="16"/>
          <w:szCs w:val="16"/>
          <w:u w:val="single"/>
        </w:rPr>
        <w:t>Sink BA Information</w:t>
      </w:r>
    </w:p>
    <w:tbl>
      <w:tblPr>
        <w:tblW w:w="6727" w:type="dxa"/>
        <w:tblInd w:w="847" w:type="dxa"/>
        <w:tblLook w:val="01E0" w:firstRow="1" w:lastRow="1" w:firstColumn="1" w:lastColumn="1" w:noHBand="0" w:noVBand="0"/>
      </w:tblPr>
      <w:tblGrid>
        <w:gridCol w:w="2061"/>
        <w:gridCol w:w="778"/>
        <w:gridCol w:w="3791"/>
        <w:gridCol w:w="97"/>
      </w:tblGrid>
      <w:tr w:rsidR="00436A9C" w:rsidRPr="00436A9C" w:rsidTr="0043564C">
        <w:trPr>
          <w:gridAfter w:val="1"/>
          <w:wAfter w:w="97" w:type="dxa"/>
          <w:trHeight w:val="183"/>
        </w:trPr>
        <w:tc>
          <w:tcPr>
            <w:tcW w:w="2839" w:type="dxa"/>
            <w:gridSpan w:val="2"/>
            <w:vAlign w:val="bottom"/>
          </w:tcPr>
          <w:p w:rsidR="00436A9C" w:rsidRPr="00436A9C" w:rsidRDefault="00436A9C" w:rsidP="00ED0FDA">
            <w:pPr>
              <w:pStyle w:val="body"/>
              <w:rPr>
                <w:rFonts w:ascii="Arial" w:hAnsi="Arial" w:cs="Arial"/>
                <w:sz w:val="16"/>
                <w:szCs w:val="16"/>
              </w:rPr>
            </w:pPr>
            <w:r w:rsidRPr="00436A9C">
              <w:rPr>
                <w:rFonts w:ascii="Arial" w:hAnsi="Arial" w:cs="Arial"/>
                <w:sz w:val="16"/>
                <w:szCs w:val="16"/>
              </w:rPr>
              <w:t>Sink BA of Dynamic Transfer</w:t>
            </w:r>
          </w:p>
        </w:tc>
        <w:tc>
          <w:tcPr>
            <w:tcW w:w="3791" w:type="dxa"/>
            <w:tcBorders>
              <w:bottom w:val="single" w:sz="2" w:space="0" w:color="999999"/>
            </w:tcBorders>
            <w:vAlign w:val="bottom"/>
          </w:tcPr>
          <w:p w:rsidR="00436A9C" w:rsidRPr="00436A9C" w:rsidRDefault="00436A9C" w:rsidP="00ED0FDA">
            <w:pPr>
              <w:pStyle w:val="body"/>
              <w:rPr>
                <w:rFonts w:ascii="Arial" w:hAnsi="Arial" w:cs="Arial"/>
                <w:sz w:val="16"/>
                <w:szCs w:val="16"/>
              </w:rPr>
            </w:pPr>
          </w:p>
        </w:tc>
      </w:tr>
      <w:tr w:rsidR="00436A9C" w:rsidRPr="00436A9C" w:rsidTr="0043564C">
        <w:trPr>
          <w:gridAfter w:val="1"/>
          <w:wAfter w:w="97" w:type="dxa"/>
          <w:trHeight w:val="183"/>
        </w:trPr>
        <w:tc>
          <w:tcPr>
            <w:tcW w:w="2839" w:type="dxa"/>
            <w:gridSpan w:val="2"/>
            <w:vAlign w:val="bottom"/>
          </w:tcPr>
          <w:p w:rsidR="00436A9C" w:rsidRPr="00436A9C" w:rsidRDefault="00436A9C" w:rsidP="0043564C">
            <w:pPr>
              <w:pStyle w:val="body"/>
              <w:rPr>
                <w:rFonts w:ascii="Arial" w:hAnsi="Arial" w:cs="Arial"/>
                <w:sz w:val="16"/>
                <w:szCs w:val="16"/>
              </w:rPr>
            </w:pPr>
            <w:r w:rsidRPr="00436A9C">
              <w:rPr>
                <w:rFonts w:ascii="Arial" w:hAnsi="Arial" w:cs="Arial"/>
                <w:sz w:val="16"/>
                <w:szCs w:val="16"/>
              </w:rPr>
              <w:t xml:space="preserve">Sink BA Contact </w:t>
            </w:r>
            <w:r w:rsidR="0043564C">
              <w:rPr>
                <w:rFonts w:ascii="Arial" w:hAnsi="Arial" w:cs="Arial"/>
                <w:sz w:val="16"/>
                <w:szCs w:val="16"/>
              </w:rPr>
              <w:t>Name</w:t>
            </w:r>
          </w:p>
        </w:tc>
        <w:tc>
          <w:tcPr>
            <w:tcW w:w="3791" w:type="dxa"/>
            <w:tcBorders>
              <w:top w:val="single" w:sz="2" w:space="0" w:color="999999"/>
              <w:bottom w:val="single" w:sz="2" w:space="0" w:color="999999"/>
            </w:tcBorders>
            <w:vAlign w:val="bottom"/>
          </w:tcPr>
          <w:p w:rsidR="00436A9C" w:rsidRPr="00436A9C" w:rsidRDefault="00436A9C" w:rsidP="00ED0FDA">
            <w:pPr>
              <w:pStyle w:val="body"/>
              <w:rPr>
                <w:rFonts w:ascii="Arial" w:hAnsi="Arial" w:cs="Arial"/>
                <w:sz w:val="16"/>
                <w:szCs w:val="16"/>
              </w:rPr>
            </w:pPr>
          </w:p>
        </w:tc>
      </w:tr>
      <w:tr w:rsidR="0043564C" w:rsidRPr="00436A9C" w:rsidTr="0043564C">
        <w:trPr>
          <w:trHeight w:val="183"/>
        </w:trPr>
        <w:tc>
          <w:tcPr>
            <w:tcW w:w="2061" w:type="dxa"/>
            <w:vAlign w:val="bottom"/>
          </w:tcPr>
          <w:p w:rsidR="0043564C" w:rsidRPr="00436A9C" w:rsidRDefault="0043564C" w:rsidP="0016740B">
            <w:pPr>
              <w:pStyle w:val="body"/>
              <w:rPr>
                <w:rFonts w:ascii="Arial" w:hAnsi="Arial" w:cs="Arial"/>
                <w:sz w:val="16"/>
                <w:szCs w:val="16"/>
              </w:rPr>
            </w:pPr>
            <w:r>
              <w:rPr>
                <w:rFonts w:ascii="Arial" w:hAnsi="Arial" w:cs="Arial"/>
                <w:sz w:val="16"/>
                <w:szCs w:val="16"/>
              </w:rPr>
              <w:t>Contact Phone</w:t>
            </w:r>
          </w:p>
        </w:tc>
        <w:tc>
          <w:tcPr>
            <w:tcW w:w="4666" w:type="dxa"/>
            <w:gridSpan w:val="3"/>
            <w:tcBorders>
              <w:top w:val="single" w:sz="2" w:space="0" w:color="999999"/>
              <w:bottom w:val="single" w:sz="2" w:space="0" w:color="999999"/>
            </w:tcBorders>
            <w:vAlign w:val="bottom"/>
          </w:tcPr>
          <w:p w:rsidR="0043564C" w:rsidRPr="00436A9C" w:rsidRDefault="0043564C" w:rsidP="0016740B">
            <w:pPr>
              <w:pStyle w:val="body"/>
              <w:rPr>
                <w:rFonts w:ascii="Arial" w:hAnsi="Arial" w:cs="Arial"/>
                <w:sz w:val="16"/>
                <w:szCs w:val="16"/>
              </w:rPr>
            </w:pPr>
          </w:p>
        </w:tc>
      </w:tr>
      <w:tr w:rsidR="0043564C" w:rsidRPr="00436A9C" w:rsidTr="0043564C">
        <w:trPr>
          <w:trHeight w:val="183"/>
        </w:trPr>
        <w:tc>
          <w:tcPr>
            <w:tcW w:w="2061" w:type="dxa"/>
            <w:vAlign w:val="bottom"/>
          </w:tcPr>
          <w:p w:rsidR="0043564C" w:rsidRPr="00436A9C" w:rsidRDefault="0043564C" w:rsidP="0016740B">
            <w:pPr>
              <w:pStyle w:val="body"/>
              <w:rPr>
                <w:rFonts w:ascii="Arial" w:hAnsi="Arial" w:cs="Arial"/>
                <w:sz w:val="16"/>
                <w:szCs w:val="16"/>
              </w:rPr>
            </w:pPr>
            <w:r>
              <w:rPr>
                <w:rFonts w:ascii="Arial" w:hAnsi="Arial" w:cs="Arial"/>
                <w:sz w:val="16"/>
                <w:szCs w:val="16"/>
              </w:rPr>
              <w:t>Contact Email</w:t>
            </w:r>
          </w:p>
        </w:tc>
        <w:tc>
          <w:tcPr>
            <w:tcW w:w="4666" w:type="dxa"/>
            <w:gridSpan w:val="3"/>
            <w:tcBorders>
              <w:top w:val="single" w:sz="2" w:space="0" w:color="999999"/>
              <w:bottom w:val="single" w:sz="2" w:space="0" w:color="999999"/>
            </w:tcBorders>
            <w:vAlign w:val="bottom"/>
          </w:tcPr>
          <w:p w:rsidR="0043564C" w:rsidRPr="00436A9C" w:rsidRDefault="0043564C" w:rsidP="0016740B">
            <w:pPr>
              <w:pStyle w:val="body"/>
              <w:rPr>
                <w:rFonts w:ascii="Arial" w:hAnsi="Arial" w:cs="Arial"/>
                <w:sz w:val="16"/>
                <w:szCs w:val="16"/>
              </w:rPr>
            </w:pPr>
          </w:p>
        </w:tc>
      </w:tr>
    </w:tbl>
    <w:p w:rsidR="00C14736" w:rsidRPr="00436A9C" w:rsidRDefault="00C14736" w:rsidP="00337928">
      <w:pPr>
        <w:rPr>
          <w:rFonts w:ascii="Arial" w:hAnsi="Arial" w:cs="Arial"/>
          <w:sz w:val="16"/>
          <w:szCs w:val="16"/>
        </w:rPr>
      </w:pPr>
    </w:p>
    <w:tbl>
      <w:tblPr>
        <w:tblW w:w="6138" w:type="dxa"/>
        <w:tblInd w:w="891" w:type="dxa"/>
        <w:tblLook w:val="01E0" w:firstRow="1" w:lastRow="1" w:firstColumn="1" w:lastColumn="1" w:noHBand="0" w:noVBand="0"/>
      </w:tblPr>
      <w:tblGrid>
        <w:gridCol w:w="1368"/>
        <w:gridCol w:w="2340"/>
        <w:gridCol w:w="649"/>
        <w:gridCol w:w="1781"/>
      </w:tblGrid>
      <w:tr w:rsidR="00436A9C" w:rsidRPr="00436A9C" w:rsidTr="0043564C">
        <w:trPr>
          <w:trHeight w:val="432"/>
        </w:trPr>
        <w:tc>
          <w:tcPr>
            <w:tcW w:w="1368" w:type="dxa"/>
            <w:vAlign w:val="bottom"/>
          </w:tcPr>
          <w:p w:rsidR="00436A9C" w:rsidRPr="00436A9C" w:rsidRDefault="00436A9C" w:rsidP="00ED0FDA">
            <w:pPr>
              <w:pStyle w:val="body"/>
              <w:rPr>
                <w:rFonts w:ascii="Arial" w:hAnsi="Arial" w:cs="Arial"/>
                <w:sz w:val="16"/>
                <w:szCs w:val="16"/>
              </w:rPr>
            </w:pPr>
            <w:r w:rsidRPr="00436A9C">
              <w:rPr>
                <w:rFonts w:ascii="Arial" w:hAnsi="Arial" w:cs="Arial"/>
                <w:sz w:val="16"/>
                <w:szCs w:val="16"/>
              </w:rPr>
              <w:t>Submitted by:</w:t>
            </w:r>
          </w:p>
        </w:tc>
        <w:tc>
          <w:tcPr>
            <w:tcW w:w="2340" w:type="dxa"/>
            <w:tcBorders>
              <w:bottom w:val="single" w:sz="2" w:space="0" w:color="999999"/>
            </w:tcBorders>
            <w:vAlign w:val="bottom"/>
          </w:tcPr>
          <w:p w:rsidR="00436A9C" w:rsidRPr="00436A9C" w:rsidRDefault="00436A9C" w:rsidP="00436A9C">
            <w:pPr>
              <w:pStyle w:val="body"/>
              <w:ind w:left="-108" w:right="137"/>
              <w:rPr>
                <w:rFonts w:ascii="Arial" w:hAnsi="Arial" w:cs="Arial"/>
                <w:sz w:val="16"/>
                <w:szCs w:val="16"/>
              </w:rPr>
            </w:pPr>
          </w:p>
        </w:tc>
        <w:tc>
          <w:tcPr>
            <w:tcW w:w="649" w:type="dxa"/>
            <w:vAlign w:val="bottom"/>
          </w:tcPr>
          <w:p w:rsidR="00436A9C" w:rsidRPr="00436A9C" w:rsidRDefault="00436A9C" w:rsidP="00ED0FDA">
            <w:pPr>
              <w:pStyle w:val="italic"/>
              <w:rPr>
                <w:rFonts w:ascii="Arial" w:hAnsi="Arial" w:cs="Arial"/>
                <w:i w:val="0"/>
                <w:sz w:val="16"/>
                <w:szCs w:val="16"/>
              </w:rPr>
            </w:pPr>
            <w:r w:rsidRPr="00436A9C">
              <w:rPr>
                <w:rFonts w:ascii="Arial" w:hAnsi="Arial" w:cs="Arial"/>
                <w:i w:val="0"/>
                <w:sz w:val="16"/>
                <w:szCs w:val="16"/>
              </w:rPr>
              <w:t>Date:</w:t>
            </w:r>
          </w:p>
        </w:tc>
        <w:tc>
          <w:tcPr>
            <w:tcW w:w="1781" w:type="dxa"/>
            <w:tcBorders>
              <w:bottom w:val="single" w:sz="2" w:space="0" w:color="999999"/>
            </w:tcBorders>
            <w:vAlign w:val="bottom"/>
          </w:tcPr>
          <w:p w:rsidR="00436A9C" w:rsidRPr="00436A9C" w:rsidRDefault="00436A9C" w:rsidP="00ED0FDA">
            <w:pPr>
              <w:pStyle w:val="body"/>
              <w:rPr>
                <w:rFonts w:ascii="Arial" w:hAnsi="Arial" w:cs="Arial"/>
                <w:sz w:val="16"/>
                <w:szCs w:val="16"/>
              </w:rPr>
            </w:pPr>
          </w:p>
        </w:tc>
      </w:tr>
    </w:tbl>
    <w:p w:rsidR="00C14736" w:rsidRPr="00436A9C" w:rsidRDefault="00436A9C" w:rsidP="0043564C">
      <w:pPr>
        <w:ind w:left="1440" w:firstLine="720"/>
        <w:rPr>
          <w:rFonts w:ascii="Arial" w:hAnsi="Arial" w:cs="Arial"/>
          <w:sz w:val="16"/>
          <w:szCs w:val="16"/>
        </w:rPr>
      </w:pPr>
      <w:r w:rsidRPr="00436A9C">
        <w:rPr>
          <w:rFonts w:ascii="Arial" w:hAnsi="Arial" w:cs="Arial"/>
          <w:sz w:val="16"/>
          <w:szCs w:val="16"/>
        </w:rPr>
        <w:t>Signature</w:t>
      </w:r>
    </w:p>
    <w:p w:rsidR="00C14736" w:rsidRDefault="00C14736" w:rsidP="00337928">
      <w:pPr>
        <w:rPr>
          <w:rFonts w:ascii="Arial" w:hAnsi="Arial"/>
          <w:sz w:val="16"/>
          <w:szCs w:val="16"/>
        </w:rPr>
      </w:pPr>
    </w:p>
    <w:p w:rsidR="008763A9" w:rsidRDefault="008763A9" w:rsidP="00337928">
      <w:pPr>
        <w:rPr>
          <w:rFonts w:ascii="Arial" w:hAnsi="Arial"/>
          <w:sz w:val="16"/>
          <w:szCs w:val="16"/>
        </w:rPr>
      </w:pPr>
    </w:p>
    <w:p w:rsidR="008763A9" w:rsidRDefault="008763A9" w:rsidP="00337928">
      <w:pPr>
        <w:rPr>
          <w:rFonts w:ascii="Arial" w:hAnsi="Arial"/>
          <w:sz w:val="16"/>
          <w:szCs w:val="16"/>
        </w:rPr>
      </w:pPr>
    </w:p>
    <w:p w:rsidR="008763A9" w:rsidRDefault="008763A9" w:rsidP="00337928">
      <w:pPr>
        <w:rPr>
          <w:rFonts w:ascii="Arial" w:hAnsi="Arial"/>
          <w:sz w:val="16"/>
          <w:szCs w:val="16"/>
        </w:rPr>
      </w:pPr>
    </w:p>
    <w:p w:rsidR="002E5C6A" w:rsidRPr="00C14736" w:rsidRDefault="002E5C6A" w:rsidP="00AB4D95">
      <w:pPr>
        <w:ind w:left="450"/>
        <w:rPr>
          <w:rFonts w:ascii="Arial" w:hAnsi="Arial"/>
          <w:sz w:val="16"/>
          <w:szCs w:val="16"/>
        </w:rPr>
      </w:pPr>
      <w:r w:rsidRPr="00C14736">
        <w:rPr>
          <w:rFonts w:ascii="Arial" w:hAnsi="Arial"/>
          <w:sz w:val="16"/>
          <w:szCs w:val="16"/>
        </w:rPr>
        <w:t>Submit the completed application</w:t>
      </w:r>
      <w:r w:rsidR="005E0A81">
        <w:rPr>
          <w:rFonts w:ascii="Arial" w:hAnsi="Arial"/>
          <w:sz w:val="16"/>
          <w:szCs w:val="16"/>
        </w:rPr>
        <w:t xml:space="preserve"> via e-mail</w:t>
      </w:r>
      <w:r w:rsidRPr="00C14736">
        <w:rPr>
          <w:rFonts w:ascii="Arial" w:hAnsi="Arial"/>
          <w:sz w:val="16"/>
          <w:szCs w:val="16"/>
        </w:rPr>
        <w:t xml:space="preserve"> to the PGE </w:t>
      </w:r>
      <w:r w:rsidR="00B25416" w:rsidRPr="00C14736">
        <w:rPr>
          <w:rFonts w:ascii="Arial" w:hAnsi="Arial"/>
          <w:sz w:val="16"/>
          <w:szCs w:val="16"/>
        </w:rPr>
        <w:t>Transmission Preschedulers</w:t>
      </w:r>
      <w:r w:rsidRPr="00C14736">
        <w:rPr>
          <w:rFonts w:ascii="Arial" w:hAnsi="Arial"/>
          <w:sz w:val="16"/>
          <w:szCs w:val="16"/>
        </w:rPr>
        <w:t>:</w:t>
      </w:r>
    </w:p>
    <w:p w:rsidR="002E5C6A" w:rsidRPr="00C14736" w:rsidRDefault="002E5C6A" w:rsidP="00AB4D95">
      <w:pPr>
        <w:ind w:left="450"/>
        <w:rPr>
          <w:rFonts w:ascii="Arial" w:hAnsi="Arial"/>
          <w:sz w:val="16"/>
          <w:szCs w:val="16"/>
        </w:rPr>
      </w:pPr>
    </w:p>
    <w:p w:rsidR="002E5C6A" w:rsidRDefault="009000DC" w:rsidP="00AB4D95">
      <w:pPr>
        <w:ind w:left="450"/>
        <w:rPr>
          <w:rFonts w:ascii="Arial" w:hAnsi="Arial"/>
          <w:sz w:val="16"/>
          <w:szCs w:val="16"/>
        </w:rPr>
      </w:pPr>
      <w:hyperlink r:id="rId12" w:history="1">
        <w:r w:rsidR="005E0A81" w:rsidRPr="008A6E7F">
          <w:rPr>
            <w:rStyle w:val="Hyperlink"/>
            <w:rFonts w:ascii="Arial" w:hAnsi="Arial"/>
            <w:sz w:val="16"/>
            <w:szCs w:val="16"/>
          </w:rPr>
          <w:t>Transmission.Prescheduling@pgn.com</w:t>
        </w:r>
      </w:hyperlink>
    </w:p>
    <w:p w:rsidR="005E0A81" w:rsidRDefault="005E0A81" w:rsidP="00AB4D95">
      <w:pPr>
        <w:ind w:left="450"/>
        <w:rPr>
          <w:rStyle w:val="Hyperlink"/>
          <w:rFonts w:ascii="Arial" w:hAnsi="Arial"/>
          <w:sz w:val="16"/>
          <w:szCs w:val="16"/>
        </w:rPr>
      </w:pPr>
      <w:r>
        <w:rPr>
          <w:rFonts w:ascii="Arial" w:hAnsi="Arial"/>
          <w:sz w:val="16"/>
          <w:szCs w:val="16"/>
        </w:rPr>
        <w:t>503-464-8802</w:t>
      </w:r>
    </w:p>
    <w:p w:rsidR="00C14736" w:rsidRPr="00C14736" w:rsidRDefault="00C14736" w:rsidP="00AB4D95">
      <w:pPr>
        <w:ind w:left="450"/>
        <w:rPr>
          <w:rFonts w:ascii="Arial" w:hAnsi="Arial"/>
          <w:sz w:val="16"/>
          <w:szCs w:val="16"/>
        </w:rPr>
      </w:pPr>
    </w:p>
    <w:p w:rsidR="002E5C6A" w:rsidRPr="00C14736" w:rsidRDefault="002E5C6A" w:rsidP="00AB4D95">
      <w:pPr>
        <w:ind w:left="450"/>
        <w:rPr>
          <w:rFonts w:ascii="Arial" w:hAnsi="Arial"/>
          <w:sz w:val="16"/>
          <w:szCs w:val="16"/>
        </w:rPr>
      </w:pPr>
    </w:p>
    <w:p w:rsidR="0043564C" w:rsidRDefault="00B25416" w:rsidP="00AB4D95">
      <w:pPr>
        <w:ind w:left="450"/>
        <w:rPr>
          <w:rFonts w:ascii="Arial" w:hAnsi="Arial"/>
          <w:sz w:val="16"/>
          <w:szCs w:val="16"/>
        </w:rPr>
      </w:pPr>
      <w:r w:rsidRPr="00C14736">
        <w:rPr>
          <w:rFonts w:ascii="Arial" w:hAnsi="Arial"/>
          <w:sz w:val="16"/>
          <w:szCs w:val="16"/>
        </w:rPr>
        <w:t>Approximately</w:t>
      </w:r>
      <w:r w:rsidR="002E5C6A" w:rsidRPr="00C14736">
        <w:rPr>
          <w:rFonts w:ascii="Arial" w:hAnsi="Arial"/>
          <w:sz w:val="16"/>
          <w:szCs w:val="16"/>
        </w:rPr>
        <w:t xml:space="preserve"> 30 days is needed to implement the necessary communication </w:t>
      </w:r>
      <w:r w:rsidR="00C14736">
        <w:rPr>
          <w:rFonts w:ascii="Arial" w:hAnsi="Arial"/>
          <w:sz w:val="16"/>
          <w:szCs w:val="16"/>
        </w:rPr>
        <w:t>arrangements</w:t>
      </w:r>
      <w:r w:rsidR="002E5C6A" w:rsidRPr="00C14736">
        <w:rPr>
          <w:rFonts w:ascii="Arial" w:hAnsi="Arial"/>
          <w:sz w:val="16"/>
          <w:szCs w:val="16"/>
        </w:rPr>
        <w:t xml:space="preserve"> prior to a </w:t>
      </w:r>
      <w:r w:rsidRPr="00C14736">
        <w:rPr>
          <w:rFonts w:ascii="Arial" w:hAnsi="Arial"/>
          <w:sz w:val="16"/>
          <w:szCs w:val="16"/>
        </w:rPr>
        <w:t>customer</w:t>
      </w:r>
      <w:r w:rsidR="002E5C6A" w:rsidRPr="00C14736">
        <w:rPr>
          <w:rFonts w:ascii="Arial" w:hAnsi="Arial"/>
          <w:sz w:val="16"/>
          <w:szCs w:val="16"/>
        </w:rPr>
        <w:t xml:space="preserve"> being eligible to submit requests via e-Tag to utilize awarded Dynamic Transfer </w:t>
      </w:r>
      <w:r w:rsidRPr="00C14736">
        <w:rPr>
          <w:rFonts w:ascii="Arial" w:hAnsi="Arial"/>
          <w:sz w:val="16"/>
          <w:szCs w:val="16"/>
        </w:rPr>
        <w:t>Capability</w:t>
      </w:r>
      <w:r w:rsidR="002E5C6A" w:rsidRPr="00C14736">
        <w:rPr>
          <w:rFonts w:ascii="Arial" w:hAnsi="Arial"/>
          <w:sz w:val="16"/>
          <w:szCs w:val="16"/>
        </w:rPr>
        <w:t>.</w:t>
      </w:r>
      <w:r w:rsidR="00C14736" w:rsidRPr="00C14736">
        <w:rPr>
          <w:rFonts w:ascii="Arial" w:hAnsi="Arial"/>
          <w:sz w:val="16"/>
          <w:szCs w:val="16"/>
        </w:rPr>
        <w:t xml:space="preserve">  PGE will notify customer </w:t>
      </w:r>
      <w:r w:rsidR="00C14736">
        <w:rPr>
          <w:rFonts w:ascii="Arial" w:hAnsi="Arial"/>
          <w:sz w:val="16"/>
          <w:szCs w:val="16"/>
        </w:rPr>
        <w:t>when</w:t>
      </w:r>
      <w:r w:rsidR="00C14736" w:rsidRPr="00C14736">
        <w:rPr>
          <w:rFonts w:ascii="Arial" w:hAnsi="Arial"/>
          <w:sz w:val="16"/>
          <w:szCs w:val="16"/>
        </w:rPr>
        <w:t xml:space="preserve"> communication is complete.  </w:t>
      </w:r>
    </w:p>
    <w:p w:rsidR="0043564C" w:rsidRDefault="0043564C" w:rsidP="00AB4D95">
      <w:pPr>
        <w:ind w:left="450"/>
        <w:rPr>
          <w:rFonts w:ascii="Arial" w:hAnsi="Arial"/>
          <w:sz w:val="16"/>
          <w:szCs w:val="16"/>
        </w:rPr>
      </w:pPr>
    </w:p>
    <w:p w:rsidR="002E5C6A" w:rsidRPr="0043564C" w:rsidRDefault="00C14736" w:rsidP="00AB4D95">
      <w:pPr>
        <w:ind w:left="450"/>
        <w:rPr>
          <w:rFonts w:ascii="Arial" w:hAnsi="Arial"/>
          <w:b/>
          <w:sz w:val="16"/>
          <w:szCs w:val="16"/>
          <w:u w:val="single"/>
        </w:rPr>
      </w:pPr>
      <w:r w:rsidRPr="0043564C">
        <w:rPr>
          <w:rFonts w:ascii="Arial" w:hAnsi="Arial"/>
          <w:b/>
          <w:sz w:val="16"/>
          <w:szCs w:val="16"/>
          <w:u w:val="single"/>
        </w:rPr>
        <w:t>A customer’s e-Tag request for Dynamic Transfer Capability will not be approved until the customer has submitted this registration form and PGE has notified the customer that communication arrangements are complete.</w:t>
      </w:r>
    </w:p>
    <w:p w:rsidR="0054107D" w:rsidRDefault="0054107D" w:rsidP="00337928">
      <w:pPr>
        <w:rPr>
          <w:rFonts w:ascii="Arial" w:hAnsi="Arial"/>
        </w:rPr>
      </w:pPr>
    </w:p>
    <w:p w:rsidR="0054107D" w:rsidRDefault="0054107D" w:rsidP="00337928">
      <w:pPr>
        <w:rPr>
          <w:rFonts w:ascii="Arial" w:hAnsi="Arial"/>
        </w:rPr>
      </w:pPr>
    </w:p>
    <w:p w:rsidR="0054107D" w:rsidRPr="00752DC8" w:rsidRDefault="0054107D" w:rsidP="00337928">
      <w:pPr>
        <w:rPr>
          <w:rFonts w:ascii="Arial" w:hAnsi="Arial"/>
        </w:rPr>
      </w:pPr>
    </w:p>
    <w:sectPr w:rsidR="0054107D" w:rsidRPr="00752DC8" w:rsidSect="00305791">
      <w:footerReference w:type="first" r:id="rId13"/>
      <w:pgSz w:w="12240" w:h="15840" w:code="1"/>
      <w:pgMar w:top="1354" w:right="1800" w:bottom="1440" w:left="2160" w:header="720" w:footer="40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E5" w:rsidRDefault="007E1BE5">
      <w:r>
        <w:separator/>
      </w:r>
    </w:p>
  </w:endnote>
  <w:endnote w:type="continuationSeparator" w:id="0">
    <w:p w:rsidR="007E1BE5" w:rsidRDefault="007E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0"/>
      <w:gridCol w:w="1856"/>
    </w:tblGrid>
    <w:tr w:rsidR="00A76223" w:rsidRPr="00374B7A" w:rsidTr="00A76223">
      <w:tc>
        <w:tcPr>
          <w:tcW w:w="6640" w:type="dxa"/>
          <w:shd w:val="clear" w:color="auto" w:fill="auto"/>
          <w:vAlign w:val="center"/>
        </w:tcPr>
        <w:p w:rsidR="00A76223" w:rsidRPr="00306D42" w:rsidRDefault="00A76223" w:rsidP="00BF4359">
          <w:pPr>
            <w:pStyle w:val="Footer"/>
            <w:ind w:right="90"/>
            <w:rPr>
              <w:rFonts w:ascii="Arial" w:hAnsi="Arial" w:cs="Arial"/>
              <w:sz w:val="16"/>
              <w:szCs w:val="16"/>
            </w:rPr>
          </w:pPr>
          <w:r w:rsidRPr="00306D42">
            <w:rPr>
              <w:rFonts w:ascii="Arial" w:hAnsi="Arial" w:cs="Arial"/>
              <w:sz w:val="16"/>
              <w:szCs w:val="16"/>
            </w:rPr>
            <w:t>Requesting Dynamic Transfer Capability</w:t>
          </w:r>
        </w:p>
      </w:tc>
      <w:tc>
        <w:tcPr>
          <w:tcW w:w="1856" w:type="dxa"/>
          <w:shd w:val="clear" w:color="auto" w:fill="auto"/>
        </w:tcPr>
        <w:p w:rsidR="00A76223" w:rsidRPr="00306D42" w:rsidRDefault="00A76223" w:rsidP="009000DC">
          <w:pPr>
            <w:pStyle w:val="Footer"/>
            <w:rPr>
              <w:rFonts w:ascii="Arial" w:hAnsi="Arial" w:cs="Arial"/>
              <w:sz w:val="16"/>
              <w:szCs w:val="16"/>
            </w:rPr>
          </w:pPr>
          <w:r w:rsidRPr="00306D42">
            <w:rPr>
              <w:rFonts w:ascii="Arial" w:hAnsi="Arial" w:cs="Arial"/>
              <w:sz w:val="16"/>
              <w:szCs w:val="16"/>
            </w:rPr>
            <w:t xml:space="preserve">Revision </w:t>
          </w:r>
          <w:r w:rsidR="009000DC">
            <w:rPr>
              <w:rFonts w:ascii="Arial" w:hAnsi="Arial" w:cs="Arial"/>
              <w:sz w:val="16"/>
              <w:szCs w:val="16"/>
            </w:rPr>
            <w:t>1</w:t>
          </w:r>
        </w:p>
      </w:tc>
    </w:tr>
    <w:tr w:rsidR="00A76223" w:rsidRPr="00374B7A" w:rsidTr="00A76223">
      <w:tc>
        <w:tcPr>
          <w:tcW w:w="6640" w:type="dxa"/>
          <w:shd w:val="clear" w:color="auto" w:fill="auto"/>
          <w:vAlign w:val="center"/>
        </w:tcPr>
        <w:p w:rsidR="00A76223" w:rsidRPr="00306D42" w:rsidRDefault="00A76223" w:rsidP="009000DC">
          <w:pPr>
            <w:pStyle w:val="Footer"/>
            <w:rPr>
              <w:rFonts w:ascii="Arial" w:hAnsi="Arial" w:cs="Arial"/>
              <w:sz w:val="16"/>
              <w:szCs w:val="16"/>
            </w:rPr>
          </w:pPr>
          <w:r w:rsidRPr="00306D42">
            <w:rPr>
              <w:rFonts w:ascii="Arial" w:hAnsi="Arial" w:cs="Arial"/>
              <w:sz w:val="16"/>
              <w:szCs w:val="16"/>
            </w:rPr>
            <w:t xml:space="preserve">Effective Date: </w:t>
          </w:r>
          <w:r w:rsidR="009000DC">
            <w:rPr>
              <w:rFonts w:ascii="Arial" w:hAnsi="Arial" w:cs="Arial"/>
              <w:sz w:val="16"/>
              <w:szCs w:val="16"/>
            </w:rPr>
            <w:t>October 1, 2015</w:t>
          </w:r>
        </w:p>
      </w:tc>
      <w:tc>
        <w:tcPr>
          <w:tcW w:w="1856" w:type="dxa"/>
          <w:shd w:val="clear" w:color="auto" w:fill="auto"/>
        </w:tcPr>
        <w:p w:rsidR="00A76223" w:rsidRPr="00306D42" w:rsidRDefault="00A76223" w:rsidP="00BF4359">
          <w:pPr>
            <w:pStyle w:val="Footer"/>
            <w:rPr>
              <w:rFonts w:ascii="Arial" w:hAnsi="Arial" w:cs="Arial"/>
              <w:sz w:val="16"/>
              <w:szCs w:val="16"/>
            </w:rPr>
          </w:pPr>
          <w:r w:rsidRPr="00306D42">
            <w:rPr>
              <w:rFonts w:ascii="Arial" w:hAnsi="Arial" w:cs="Arial"/>
              <w:sz w:val="16"/>
              <w:szCs w:val="16"/>
            </w:rPr>
            <w:t xml:space="preserve">Page </w:t>
          </w:r>
          <w:r w:rsidRPr="00306D42">
            <w:rPr>
              <w:rFonts w:ascii="Arial" w:hAnsi="Arial" w:cs="Arial"/>
              <w:sz w:val="16"/>
              <w:szCs w:val="16"/>
            </w:rPr>
            <w:fldChar w:fldCharType="begin"/>
          </w:r>
          <w:r w:rsidRPr="00306D42">
            <w:rPr>
              <w:rFonts w:ascii="Arial" w:hAnsi="Arial" w:cs="Arial"/>
              <w:sz w:val="16"/>
              <w:szCs w:val="16"/>
            </w:rPr>
            <w:instrText xml:space="preserve"> PAGE </w:instrText>
          </w:r>
          <w:r w:rsidRPr="00306D42">
            <w:rPr>
              <w:rFonts w:ascii="Arial" w:hAnsi="Arial" w:cs="Arial"/>
              <w:sz w:val="16"/>
              <w:szCs w:val="16"/>
            </w:rPr>
            <w:fldChar w:fldCharType="separate"/>
          </w:r>
          <w:r w:rsidR="009000DC">
            <w:rPr>
              <w:rFonts w:ascii="Arial" w:hAnsi="Arial" w:cs="Arial"/>
              <w:noProof/>
              <w:sz w:val="16"/>
              <w:szCs w:val="16"/>
            </w:rPr>
            <w:t>6</w:t>
          </w:r>
          <w:r w:rsidRPr="00306D42">
            <w:rPr>
              <w:rFonts w:ascii="Arial" w:hAnsi="Arial" w:cs="Arial"/>
              <w:sz w:val="16"/>
              <w:szCs w:val="16"/>
            </w:rPr>
            <w:fldChar w:fldCharType="end"/>
          </w:r>
          <w:r w:rsidRPr="00306D42">
            <w:rPr>
              <w:rFonts w:ascii="Arial" w:hAnsi="Arial" w:cs="Arial"/>
              <w:sz w:val="16"/>
              <w:szCs w:val="16"/>
            </w:rPr>
            <w:t xml:space="preserve"> of </w:t>
          </w:r>
          <w:r w:rsidRPr="00306D42">
            <w:rPr>
              <w:rFonts w:ascii="Arial" w:hAnsi="Arial" w:cs="Arial"/>
              <w:sz w:val="16"/>
              <w:szCs w:val="16"/>
            </w:rPr>
            <w:fldChar w:fldCharType="begin"/>
          </w:r>
          <w:r w:rsidRPr="00306D42">
            <w:rPr>
              <w:rFonts w:ascii="Arial" w:hAnsi="Arial" w:cs="Arial"/>
              <w:sz w:val="16"/>
              <w:szCs w:val="16"/>
            </w:rPr>
            <w:instrText xml:space="preserve"> NUMPAGES </w:instrText>
          </w:r>
          <w:r w:rsidRPr="00306D42">
            <w:rPr>
              <w:rFonts w:ascii="Arial" w:hAnsi="Arial" w:cs="Arial"/>
              <w:sz w:val="16"/>
              <w:szCs w:val="16"/>
            </w:rPr>
            <w:fldChar w:fldCharType="separate"/>
          </w:r>
          <w:r w:rsidR="009000DC">
            <w:rPr>
              <w:rFonts w:ascii="Arial" w:hAnsi="Arial" w:cs="Arial"/>
              <w:noProof/>
              <w:sz w:val="16"/>
              <w:szCs w:val="16"/>
            </w:rPr>
            <w:t>7</w:t>
          </w:r>
          <w:r w:rsidRPr="00306D42">
            <w:rPr>
              <w:rFonts w:ascii="Arial" w:hAnsi="Arial" w:cs="Arial"/>
              <w:sz w:val="16"/>
              <w:szCs w:val="16"/>
            </w:rPr>
            <w:fldChar w:fldCharType="end"/>
          </w:r>
        </w:p>
      </w:tc>
    </w:tr>
  </w:tbl>
  <w:p w:rsidR="00FD69D4" w:rsidRPr="00CD4B85" w:rsidRDefault="00FD69D4" w:rsidP="00CD4B85">
    <w:pPr>
      <w:pStyle w:val="Footer"/>
      <w:ind w:right="90"/>
      <w:jc w:val="right"/>
      <w:rPr>
        <w:rFonts w:ascii="Arial" w:hAnsi="Arial"/>
      </w:rPr>
    </w:pP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4"/>
      <w:gridCol w:w="1852"/>
    </w:tblGrid>
    <w:tr w:rsidR="00FD69D4" w:rsidRPr="00374B7A" w:rsidTr="00374B7A">
      <w:tc>
        <w:tcPr>
          <w:tcW w:w="6948" w:type="dxa"/>
          <w:shd w:val="clear" w:color="auto" w:fill="auto"/>
          <w:vAlign w:val="center"/>
        </w:tcPr>
        <w:p w:rsidR="00FD69D4" w:rsidRPr="00306D42" w:rsidRDefault="00A76223" w:rsidP="00374B7A">
          <w:pPr>
            <w:pStyle w:val="Footer"/>
            <w:ind w:right="90"/>
            <w:rPr>
              <w:rFonts w:ascii="Arial" w:hAnsi="Arial" w:cs="Arial"/>
              <w:sz w:val="16"/>
              <w:szCs w:val="16"/>
            </w:rPr>
          </w:pPr>
          <w:r w:rsidRPr="00306D42">
            <w:rPr>
              <w:rFonts w:ascii="Arial" w:hAnsi="Arial" w:cs="Arial"/>
              <w:sz w:val="16"/>
              <w:szCs w:val="16"/>
            </w:rPr>
            <w:t>Requesting Dynamic Transfer Capability</w:t>
          </w:r>
        </w:p>
      </w:tc>
      <w:tc>
        <w:tcPr>
          <w:tcW w:w="1908" w:type="dxa"/>
          <w:shd w:val="clear" w:color="auto" w:fill="auto"/>
        </w:tcPr>
        <w:p w:rsidR="00FD69D4" w:rsidRPr="00306D42" w:rsidRDefault="00FD69D4" w:rsidP="00A76223">
          <w:pPr>
            <w:pStyle w:val="Footer"/>
            <w:rPr>
              <w:rFonts w:ascii="Arial" w:hAnsi="Arial" w:cs="Arial"/>
              <w:sz w:val="16"/>
              <w:szCs w:val="16"/>
            </w:rPr>
          </w:pPr>
          <w:r w:rsidRPr="00306D42">
            <w:rPr>
              <w:rFonts w:ascii="Arial" w:hAnsi="Arial" w:cs="Arial"/>
              <w:sz w:val="16"/>
              <w:szCs w:val="16"/>
            </w:rPr>
            <w:t xml:space="preserve">Revision </w:t>
          </w:r>
          <w:r w:rsidR="009000DC">
            <w:rPr>
              <w:rFonts w:ascii="Arial" w:hAnsi="Arial" w:cs="Arial"/>
              <w:sz w:val="16"/>
              <w:szCs w:val="16"/>
            </w:rPr>
            <w:t>1</w:t>
          </w:r>
        </w:p>
      </w:tc>
    </w:tr>
    <w:tr w:rsidR="00FD69D4" w:rsidRPr="00374B7A" w:rsidTr="00374B7A">
      <w:tc>
        <w:tcPr>
          <w:tcW w:w="6948" w:type="dxa"/>
          <w:shd w:val="clear" w:color="auto" w:fill="auto"/>
          <w:vAlign w:val="center"/>
        </w:tcPr>
        <w:p w:rsidR="00FD69D4" w:rsidRPr="00306D42" w:rsidRDefault="00FD69D4" w:rsidP="009000DC">
          <w:pPr>
            <w:pStyle w:val="Footer"/>
            <w:rPr>
              <w:rFonts w:ascii="Arial" w:hAnsi="Arial" w:cs="Arial"/>
              <w:sz w:val="16"/>
              <w:szCs w:val="16"/>
            </w:rPr>
          </w:pPr>
          <w:r w:rsidRPr="00306D42">
            <w:rPr>
              <w:rFonts w:ascii="Arial" w:hAnsi="Arial" w:cs="Arial"/>
              <w:sz w:val="16"/>
              <w:szCs w:val="16"/>
            </w:rPr>
            <w:t xml:space="preserve">Effective Date: </w:t>
          </w:r>
          <w:r w:rsidR="009000DC">
            <w:rPr>
              <w:rFonts w:ascii="Arial" w:hAnsi="Arial" w:cs="Arial"/>
              <w:sz w:val="16"/>
              <w:szCs w:val="16"/>
            </w:rPr>
            <w:t>October 1, 2015</w:t>
          </w:r>
        </w:p>
      </w:tc>
      <w:tc>
        <w:tcPr>
          <w:tcW w:w="1908" w:type="dxa"/>
          <w:shd w:val="clear" w:color="auto" w:fill="auto"/>
        </w:tcPr>
        <w:p w:rsidR="00FD69D4" w:rsidRPr="00306D42" w:rsidRDefault="00FD69D4" w:rsidP="00927B89">
          <w:pPr>
            <w:pStyle w:val="Footer"/>
            <w:rPr>
              <w:rFonts w:ascii="Arial" w:hAnsi="Arial" w:cs="Arial"/>
              <w:sz w:val="16"/>
              <w:szCs w:val="16"/>
            </w:rPr>
          </w:pPr>
          <w:r w:rsidRPr="00306D42">
            <w:rPr>
              <w:rFonts w:ascii="Arial" w:hAnsi="Arial" w:cs="Arial"/>
              <w:sz w:val="16"/>
              <w:szCs w:val="16"/>
            </w:rPr>
            <w:t xml:space="preserve">Page </w:t>
          </w:r>
          <w:r w:rsidRPr="00306D42">
            <w:rPr>
              <w:rFonts w:ascii="Arial" w:hAnsi="Arial" w:cs="Arial"/>
              <w:sz w:val="16"/>
              <w:szCs w:val="16"/>
            </w:rPr>
            <w:fldChar w:fldCharType="begin"/>
          </w:r>
          <w:r w:rsidRPr="00306D42">
            <w:rPr>
              <w:rFonts w:ascii="Arial" w:hAnsi="Arial" w:cs="Arial"/>
              <w:sz w:val="16"/>
              <w:szCs w:val="16"/>
            </w:rPr>
            <w:instrText xml:space="preserve"> PAGE </w:instrText>
          </w:r>
          <w:r w:rsidRPr="00306D42">
            <w:rPr>
              <w:rFonts w:ascii="Arial" w:hAnsi="Arial" w:cs="Arial"/>
              <w:sz w:val="16"/>
              <w:szCs w:val="16"/>
            </w:rPr>
            <w:fldChar w:fldCharType="separate"/>
          </w:r>
          <w:r w:rsidR="009000DC">
            <w:rPr>
              <w:rFonts w:ascii="Arial" w:hAnsi="Arial" w:cs="Arial"/>
              <w:noProof/>
              <w:sz w:val="16"/>
              <w:szCs w:val="16"/>
            </w:rPr>
            <w:t>1</w:t>
          </w:r>
          <w:r w:rsidRPr="00306D42">
            <w:rPr>
              <w:rFonts w:ascii="Arial" w:hAnsi="Arial" w:cs="Arial"/>
              <w:sz w:val="16"/>
              <w:szCs w:val="16"/>
            </w:rPr>
            <w:fldChar w:fldCharType="end"/>
          </w:r>
          <w:r w:rsidRPr="00306D42">
            <w:rPr>
              <w:rFonts w:ascii="Arial" w:hAnsi="Arial" w:cs="Arial"/>
              <w:sz w:val="16"/>
              <w:szCs w:val="16"/>
            </w:rPr>
            <w:t xml:space="preserve"> of </w:t>
          </w:r>
          <w:r w:rsidRPr="00306D42">
            <w:rPr>
              <w:rFonts w:ascii="Arial" w:hAnsi="Arial" w:cs="Arial"/>
              <w:sz w:val="16"/>
              <w:szCs w:val="16"/>
            </w:rPr>
            <w:fldChar w:fldCharType="begin"/>
          </w:r>
          <w:r w:rsidRPr="00306D42">
            <w:rPr>
              <w:rFonts w:ascii="Arial" w:hAnsi="Arial" w:cs="Arial"/>
              <w:sz w:val="16"/>
              <w:szCs w:val="16"/>
            </w:rPr>
            <w:instrText xml:space="preserve"> NUMPAGES </w:instrText>
          </w:r>
          <w:r w:rsidRPr="00306D42">
            <w:rPr>
              <w:rFonts w:ascii="Arial" w:hAnsi="Arial" w:cs="Arial"/>
              <w:sz w:val="16"/>
              <w:szCs w:val="16"/>
            </w:rPr>
            <w:fldChar w:fldCharType="separate"/>
          </w:r>
          <w:r w:rsidR="009000DC">
            <w:rPr>
              <w:rFonts w:ascii="Arial" w:hAnsi="Arial" w:cs="Arial"/>
              <w:noProof/>
              <w:sz w:val="16"/>
              <w:szCs w:val="16"/>
            </w:rPr>
            <w:t>7</w:t>
          </w:r>
          <w:r w:rsidRPr="00306D42">
            <w:rPr>
              <w:rFonts w:ascii="Arial" w:hAnsi="Arial" w:cs="Arial"/>
              <w:sz w:val="16"/>
              <w:szCs w:val="16"/>
            </w:rPr>
            <w:fldChar w:fldCharType="end"/>
          </w:r>
        </w:p>
      </w:tc>
    </w:tr>
  </w:tbl>
  <w:p w:rsidR="00FD69D4" w:rsidRDefault="00FD6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6"/>
      <w:gridCol w:w="1852"/>
    </w:tblGrid>
    <w:tr w:rsidR="00306D42" w:rsidRPr="00374B7A" w:rsidTr="00306D42">
      <w:tc>
        <w:tcPr>
          <w:tcW w:w="6086" w:type="dxa"/>
          <w:shd w:val="clear" w:color="auto" w:fill="auto"/>
          <w:vAlign w:val="center"/>
        </w:tcPr>
        <w:p w:rsidR="00306D42" w:rsidRPr="00306D42" w:rsidRDefault="00306D42" w:rsidP="00306D42">
          <w:pPr>
            <w:pStyle w:val="Footer"/>
            <w:ind w:right="90"/>
            <w:rPr>
              <w:rFonts w:ascii="Arial" w:hAnsi="Arial" w:cs="Arial"/>
              <w:sz w:val="16"/>
              <w:szCs w:val="16"/>
            </w:rPr>
          </w:pPr>
          <w:r w:rsidRPr="00306D42">
            <w:rPr>
              <w:rFonts w:ascii="Arial" w:hAnsi="Arial" w:cs="Arial"/>
              <w:sz w:val="16"/>
              <w:szCs w:val="16"/>
            </w:rPr>
            <w:t>Requesting Dynamic Transfer Capability – Attachment 1</w:t>
          </w:r>
        </w:p>
      </w:tc>
      <w:tc>
        <w:tcPr>
          <w:tcW w:w="1852" w:type="dxa"/>
          <w:shd w:val="clear" w:color="auto" w:fill="auto"/>
        </w:tcPr>
        <w:p w:rsidR="00306D42" w:rsidRPr="00306D42" w:rsidRDefault="00306D42" w:rsidP="00A76223">
          <w:pPr>
            <w:pStyle w:val="Footer"/>
            <w:rPr>
              <w:rFonts w:ascii="Arial" w:hAnsi="Arial" w:cs="Arial"/>
              <w:sz w:val="16"/>
              <w:szCs w:val="16"/>
            </w:rPr>
          </w:pPr>
          <w:r w:rsidRPr="00306D42">
            <w:rPr>
              <w:rFonts w:ascii="Arial" w:hAnsi="Arial" w:cs="Arial"/>
              <w:sz w:val="16"/>
              <w:szCs w:val="16"/>
            </w:rPr>
            <w:t xml:space="preserve">Revision </w:t>
          </w:r>
          <w:r w:rsidR="009000DC">
            <w:rPr>
              <w:rFonts w:ascii="Arial" w:hAnsi="Arial" w:cs="Arial"/>
              <w:sz w:val="16"/>
              <w:szCs w:val="16"/>
            </w:rPr>
            <w:t>1</w:t>
          </w:r>
        </w:p>
      </w:tc>
    </w:tr>
    <w:tr w:rsidR="00306D42" w:rsidRPr="00374B7A" w:rsidTr="00306D42">
      <w:tc>
        <w:tcPr>
          <w:tcW w:w="6086" w:type="dxa"/>
          <w:shd w:val="clear" w:color="auto" w:fill="auto"/>
          <w:vAlign w:val="center"/>
        </w:tcPr>
        <w:p w:rsidR="00306D42" w:rsidRPr="00306D42" w:rsidRDefault="00306D42" w:rsidP="009000DC">
          <w:pPr>
            <w:pStyle w:val="Footer"/>
            <w:rPr>
              <w:rFonts w:ascii="Arial" w:hAnsi="Arial" w:cs="Arial"/>
              <w:sz w:val="16"/>
              <w:szCs w:val="16"/>
            </w:rPr>
          </w:pPr>
          <w:r w:rsidRPr="00306D42">
            <w:rPr>
              <w:rFonts w:ascii="Arial" w:hAnsi="Arial" w:cs="Arial"/>
              <w:sz w:val="16"/>
              <w:szCs w:val="16"/>
            </w:rPr>
            <w:t xml:space="preserve">Effective Date: </w:t>
          </w:r>
          <w:r w:rsidR="009000DC">
            <w:rPr>
              <w:rFonts w:ascii="Arial" w:hAnsi="Arial" w:cs="Arial"/>
              <w:sz w:val="16"/>
              <w:szCs w:val="16"/>
            </w:rPr>
            <w:t>October 1, 2015</w:t>
          </w:r>
        </w:p>
      </w:tc>
      <w:tc>
        <w:tcPr>
          <w:tcW w:w="1852" w:type="dxa"/>
          <w:shd w:val="clear" w:color="auto" w:fill="auto"/>
        </w:tcPr>
        <w:p w:rsidR="00306D42" w:rsidRPr="00306D42" w:rsidRDefault="00306D42" w:rsidP="00927B89">
          <w:pPr>
            <w:pStyle w:val="Footer"/>
            <w:rPr>
              <w:rFonts w:ascii="Arial" w:hAnsi="Arial" w:cs="Arial"/>
              <w:sz w:val="16"/>
              <w:szCs w:val="16"/>
            </w:rPr>
          </w:pPr>
          <w:r w:rsidRPr="00306D42">
            <w:rPr>
              <w:rFonts w:ascii="Arial" w:hAnsi="Arial" w:cs="Arial"/>
              <w:sz w:val="16"/>
              <w:szCs w:val="16"/>
            </w:rPr>
            <w:t>Page 1of 1</w:t>
          </w:r>
        </w:p>
      </w:tc>
    </w:tr>
  </w:tbl>
  <w:p w:rsidR="00306D42" w:rsidRDefault="00306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E5" w:rsidRDefault="007E1BE5">
      <w:r>
        <w:separator/>
      </w:r>
    </w:p>
  </w:footnote>
  <w:footnote w:type="continuationSeparator" w:id="0">
    <w:p w:rsidR="007E1BE5" w:rsidRDefault="007E1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899"/>
    <w:multiLevelType w:val="hybridMultilevel"/>
    <w:tmpl w:val="4CE8E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236354"/>
    <w:multiLevelType w:val="hybridMultilevel"/>
    <w:tmpl w:val="87B46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15081"/>
    <w:multiLevelType w:val="hybridMultilevel"/>
    <w:tmpl w:val="800CD0FE"/>
    <w:lvl w:ilvl="0" w:tplc="0409000F">
      <w:start w:val="1"/>
      <w:numFmt w:val="decimal"/>
      <w:lvlText w:val="%1."/>
      <w:lvlJc w:val="left"/>
      <w:pPr>
        <w:ind w:left="720" w:hanging="360"/>
      </w:pPr>
    </w:lvl>
    <w:lvl w:ilvl="1" w:tplc="1D386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C5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9F2D2E"/>
    <w:multiLevelType w:val="hybridMultilevel"/>
    <w:tmpl w:val="F72A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14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6B2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757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C80D9E"/>
    <w:multiLevelType w:val="multilevel"/>
    <w:tmpl w:val="33C456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2E55AFF"/>
    <w:multiLevelType w:val="hybridMultilevel"/>
    <w:tmpl w:val="1D5C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A3721"/>
    <w:multiLevelType w:val="hybridMultilevel"/>
    <w:tmpl w:val="F524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755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BD63C41"/>
    <w:multiLevelType w:val="hybridMultilevel"/>
    <w:tmpl w:val="B65EA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C29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12F64BF"/>
    <w:multiLevelType w:val="multilevel"/>
    <w:tmpl w:val="33C456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36D5F39"/>
    <w:multiLevelType w:val="hybridMultilevel"/>
    <w:tmpl w:val="3492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F36300"/>
    <w:multiLevelType w:val="hybridMultilevel"/>
    <w:tmpl w:val="67583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1071C1"/>
    <w:multiLevelType w:val="hybridMultilevel"/>
    <w:tmpl w:val="284C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9594E"/>
    <w:multiLevelType w:val="hybridMultilevel"/>
    <w:tmpl w:val="8DFC7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BF44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03147A1"/>
    <w:multiLevelType w:val="hybridMultilevel"/>
    <w:tmpl w:val="C7EC586A"/>
    <w:lvl w:ilvl="0" w:tplc="0409000F">
      <w:start w:val="1"/>
      <w:numFmt w:val="decimal"/>
      <w:lvlText w:val="%1."/>
      <w:lvlJc w:val="left"/>
      <w:pPr>
        <w:ind w:left="720" w:hanging="360"/>
      </w:pPr>
    </w:lvl>
    <w:lvl w:ilvl="1" w:tplc="761C8A9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83B1E"/>
    <w:multiLevelType w:val="hybridMultilevel"/>
    <w:tmpl w:val="5516C7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729385F"/>
    <w:multiLevelType w:val="hybridMultilevel"/>
    <w:tmpl w:val="6406A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BC69A3"/>
    <w:multiLevelType w:val="hybridMultilevel"/>
    <w:tmpl w:val="8D2C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3"/>
  </w:num>
  <w:num w:numId="4">
    <w:abstractNumId w:val="13"/>
  </w:num>
  <w:num w:numId="5">
    <w:abstractNumId w:val="7"/>
  </w:num>
  <w:num w:numId="6">
    <w:abstractNumId w:val="11"/>
  </w:num>
  <w:num w:numId="7">
    <w:abstractNumId w:val="6"/>
  </w:num>
  <w:num w:numId="8">
    <w:abstractNumId w:val="21"/>
  </w:num>
  <w:num w:numId="9">
    <w:abstractNumId w:val="18"/>
  </w:num>
  <w:num w:numId="10">
    <w:abstractNumId w:val="16"/>
  </w:num>
  <w:num w:numId="11">
    <w:abstractNumId w:val="15"/>
  </w:num>
  <w:num w:numId="12">
    <w:abstractNumId w:val="22"/>
  </w:num>
  <w:num w:numId="13">
    <w:abstractNumId w:val="17"/>
  </w:num>
  <w:num w:numId="14">
    <w:abstractNumId w:val="12"/>
  </w:num>
  <w:num w:numId="15">
    <w:abstractNumId w:val="23"/>
  </w:num>
  <w:num w:numId="16">
    <w:abstractNumId w:val="9"/>
  </w:num>
  <w:num w:numId="17">
    <w:abstractNumId w:val="2"/>
  </w:num>
  <w:num w:numId="18">
    <w:abstractNumId w:val="1"/>
  </w:num>
  <w:num w:numId="19">
    <w:abstractNumId w:val="20"/>
  </w:num>
  <w:num w:numId="20">
    <w:abstractNumId w:val="4"/>
  </w:num>
  <w:num w:numId="21">
    <w:abstractNumId w:val="10"/>
  </w:num>
  <w:num w:numId="22">
    <w:abstractNumId w:val="8"/>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ED"/>
    <w:rsid w:val="00000887"/>
    <w:rsid w:val="000011DC"/>
    <w:rsid w:val="00014EBD"/>
    <w:rsid w:val="0003211A"/>
    <w:rsid w:val="00037298"/>
    <w:rsid w:val="00044BB9"/>
    <w:rsid w:val="000813CB"/>
    <w:rsid w:val="00097A59"/>
    <w:rsid w:val="000A0A72"/>
    <w:rsid w:val="000B5204"/>
    <w:rsid w:val="000B7828"/>
    <w:rsid w:val="000C041C"/>
    <w:rsid w:val="000C2CAB"/>
    <w:rsid w:val="000E1C52"/>
    <w:rsid w:val="000F4630"/>
    <w:rsid w:val="000F71ED"/>
    <w:rsid w:val="00103776"/>
    <w:rsid w:val="0010636B"/>
    <w:rsid w:val="0011219A"/>
    <w:rsid w:val="0012247F"/>
    <w:rsid w:val="00123B00"/>
    <w:rsid w:val="00140900"/>
    <w:rsid w:val="00141B65"/>
    <w:rsid w:val="00142AF8"/>
    <w:rsid w:val="001863E6"/>
    <w:rsid w:val="00192D2F"/>
    <w:rsid w:val="001B1258"/>
    <w:rsid w:val="001B2743"/>
    <w:rsid w:val="001B5159"/>
    <w:rsid w:val="001E2265"/>
    <w:rsid w:val="001F119B"/>
    <w:rsid w:val="00200193"/>
    <w:rsid w:val="00227394"/>
    <w:rsid w:val="00232417"/>
    <w:rsid w:val="00250E77"/>
    <w:rsid w:val="0025389D"/>
    <w:rsid w:val="00260227"/>
    <w:rsid w:val="00265D66"/>
    <w:rsid w:val="002761DC"/>
    <w:rsid w:val="00285BB9"/>
    <w:rsid w:val="00291AAC"/>
    <w:rsid w:val="002A0E26"/>
    <w:rsid w:val="002A1AF3"/>
    <w:rsid w:val="002A6DEA"/>
    <w:rsid w:val="002A6E6D"/>
    <w:rsid w:val="002B6A29"/>
    <w:rsid w:val="002C72D1"/>
    <w:rsid w:val="002C7786"/>
    <w:rsid w:val="002E01A5"/>
    <w:rsid w:val="002E5C6A"/>
    <w:rsid w:val="00305791"/>
    <w:rsid w:val="00306D42"/>
    <w:rsid w:val="00312D19"/>
    <w:rsid w:val="00321135"/>
    <w:rsid w:val="003273CC"/>
    <w:rsid w:val="003277A6"/>
    <w:rsid w:val="00332FE3"/>
    <w:rsid w:val="00333D1E"/>
    <w:rsid w:val="00337928"/>
    <w:rsid w:val="00351BC4"/>
    <w:rsid w:val="00374000"/>
    <w:rsid w:val="00374B7A"/>
    <w:rsid w:val="003B35E9"/>
    <w:rsid w:val="003B5B49"/>
    <w:rsid w:val="003B6BDC"/>
    <w:rsid w:val="003B743D"/>
    <w:rsid w:val="003C118A"/>
    <w:rsid w:val="003C6D5C"/>
    <w:rsid w:val="003E0B77"/>
    <w:rsid w:val="003E5381"/>
    <w:rsid w:val="0041141A"/>
    <w:rsid w:val="00414495"/>
    <w:rsid w:val="00423BC2"/>
    <w:rsid w:val="00427B81"/>
    <w:rsid w:val="004342C7"/>
    <w:rsid w:val="0043564C"/>
    <w:rsid w:val="00436A9C"/>
    <w:rsid w:val="0045158D"/>
    <w:rsid w:val="004766FF"/>
    <w:rsid w:val="00494C58"/>
    <w:rsid w:val="004A37A2"/>
    <w:rsid w:val="004C1D31"/>
    <w:rsid w:val="004D100A"/>
    <w:rsid w:val="004E20CC"/>
    <w:rsid w:val="004E67EB"/>
    <w:rsid w:val="005146DA"/>
    <w:rsid w:val="0051782B"/>
    <w:rsid w:val="005248B0"/>
    <w:rsid w:val="0054107D"/>
    <w:rsid w:val="00541DFD"/>
    <w:rsid w:val="005514ED"/>
    <w:rsid w:val="005567F5"/>
    <w:rsid w:val="005824CC"/>
    <w:rsid w:val="005850C8"/>
    <w:rsid w:val="00593E76"/>
    <w:rsid w:val="005A4F1C"/>
    <w:rsid w:val="005B0713"/>
    <w:rsid w:val="005C672F"/>
    <w:rsid w:val="005E0A81"/>
    <w:rsid w:val="005E7296"/>
    <w:rsid w:val="00605B8F"/>
    <w:rsid w:val="00606249"/>
    <w:rsid w:val="00610992"/>
    <w:rsid w:val="00617075"/>
    <w:rsid w:val="00617C04"/>
    <w:rsid w:val="0063036E"/>
    <w:rsid w:val="0063044F"/>
    <w:rsid w:val="00635233"/>
    <w:rsid w:val="00635F05"/>
    <w:rsid w:val="006436C3"/>
    <w:rsid w:val="00655C78"/>
    <w:rsid w:val="00662C18"/>
    <w:rsid w:val="00663D05"/>
    <w:rsid w:val="006726B9"/>
    <w:rsid w:val="00673444"/>
    <w:rsid w:val="006775C7"/>
    <w:rsid w:val="0068460E"/>
    <w:rsid w:val="00693ED6"/>
    <w:rsid w:val="006977B7"/>
    <w:rsid w:val="006A6F5D"/>
    <w:rsid w:val="006B6992"/>
    <w:rsid w:val="006D36B9"/>
    <w:rsid w:val="006F00FB"/>
    <w:rsid w:val="0070714C"/>
    <w:rsid w:val="007168A0"/>
    <w:rsid w:val="00743029"/>
    <w:rsid w:val="00752DC8"/>
    <w:rsid w:val="00770E27"/>
    <w:rsid w:val="00786DB2"/>
    <w:rsid w:val="00793D2D"/>
    <w:rsid w:val="007A2F86"/>
    <w:rsid w:val="007A315F"/>
    <w:rsid w:val="007B1C28"/>
    <w:rsid w:val="007B37A3"/>
    <w:rsid w:val="007C0F11"/>
    <w:rsid w:val="007C20DE"/>
    <w:rsid w:val="007C702C"/>
    <w:rsid w:val="007D7BEF"/>
    <w:rsid w:val="007E0361"/>
    <w:rsid w:val="007E1BE5"/>
    <w:rsid w:val="007E23EB"/>
    <w:rsid w:val="007E75E7"/>
    <w:rsid w:val="007F5A56"/>
    <w:rsid w:val="008015B3"/>
    <w:rsid w:val="00807676"/>
    <w:rsid w:val="00811234"/>
    <w:rsid w:val="00820788"/>
    <w:rsid w:val="00821ED8"/>
    <w:rsid w:val="008334CE"/>
    <w:rsid w:val="00833604"/>
    <w:rsid w:val="00833F0A"/>
    <w:rsid w:val="00843322"/>
    <w:rsid w:val="00853686"/>
    <w:rsid w:val="00857352"/>
    <w:rsid w:val="00860818"/>
    <w:rsid w:val="008609C6"/>
    <w:rsid w:val="008763A9"/>
    <w:rsid w:val="0087675E"/>
    <w:rsid w:val="00892F33"/>
    <w:rsid w:val="00895124"/>
    <w:rsid w:val="00896BF5"/>
    <w:rsid w:val="008A1902"/>
    <w:rsid w:val="008A4E0B"/>
    <w:rsid w:val="008A6EC6"/>
    <w:rsid w:val="008B125A"/>
    <w:rsid w:val="008B6AD9"/>
    <w:rsid w:val="008C4905"/>
    <w:rsid w:val="008C789A"/>
    <w:rsid w:val="008E1496"/>
    <w:rsid w:val="008F4801"/>
    <w:rsid w:val="009000DC"/>
    <w:rsid w:val="0090096B"/>
    <w:rsid w:val="00906984"/>
    <w:rsid w:val="009178C8"/>
    <w:rsid w:val="00927B89"/>
    <w:rsid w:val="00931124"/>
    <w:rsid w:val="0093211E"/>
    <w:rsid w:val="00937B5C"/>
    <w:rsid w:val="00940AAB"/>
    <w:rsid w:val="0094383D"/>
    <w:rsid w:val="00953261"/>
    <w:rsid w:val="009576A3"/>
    <w:rsid w:val="009A5972"/>
    <w:rsid w:val="009B2001"/>
    <w:rsid w:val="009C23AD"/>
    <w:rsid w:val="009E4B89"/>
    <w:rsid w:val="009E7070"/>
    <w:rsid w:val="009F63AE"/>
    <w:rsid w:val="00A000F2"/>
    <w:rsid w:val="00A15AA1"/>
    <w:rsid w:val="00A1601D"/>
    <w:rsid w:val="00A2726F"/>
    <w:rsid w:val="00A35150"/>
    <w:rsid w:val="00A44B24"/>
    <w:rsid w:val="00A74C8A"/>
    <w:rsid w:val="00A76223"/>
    <w:rsid w:val="00A847A3"/>
    <w:rsid w:val="00AA0440"/>
    <w:rsid w:val="00AB4D95"/>
    <w:rsid w:val="00AC27A3"/>
    <w:rsid w:val="00AD1137"/>
    <w:rsid w:val="00AF583E"/>
    <w:rsid w:val="00AF7F97"/>
    <w:rsid w:val="00B025E2"/>
    <w:rsid w:val="00B069D6"/>
    <w:rsid w:val="00B157AF"/>
    <w:rsid w:val="00B214AE"/>
    <w:rsid w:val="00B25224"/>
    <w:rsid w:val="00B25416"/>
    <w:rsid w:val="00B26357"/>
    <w:rsid w:val="00B27C95"/>
    <w:rsid w:val="00B40961"/>
    <w:rsid w:val="00B5670D"/>
    <w:rsid w:val="00B674F8"/>
    <w:rsid w:val="00B7717B"/>
    <w:rsid w:val="00B80315"/>
    <w:rsid w:val="00B8396E"/>
    <w:rsid w:val="00B93F59"/>
    <w:rsid w:val="00BA57BE"/>
    <w:rsid w:val="00BC5EF3"/>
    <w:rsid w:val="00BD17FE"/>
    <w:rsid w:val="00BD6448"/>
    <w:rsid w:val="00BD6D2F"/>
    <w:rsid w:val="00BE1FC7"/>
    <w:rsid w:val="00BF6426"/>
    <w:rsid w:val="00C007B3"/>
    <w:rsid w:val="00C03B9F"/>
    <w:rsid w:val="00C06E53"/>
    <w:rsid w:val="00C14736"/>
    <w:rsid w:val="00C15255"/>
    <w:rsid w:val="00C16642"/>
    <w:rsid w:val="00C30DF6"/>
    <w:rsid w:val="00C3375A"/>
    <w:rsid w:val="00C80FDF"/>
    <w:rsid w:val="00C82F88"/>
    <w:rsid w:val="00C90F83"/>
    <w:rsid w:val="00C93C6A"/>
    <w:rsid w:val="00C97CC2"/>
    <w:rsid w:val="00CA6654"/>
    <w:rsid w:val="00CB3702"/>
    <w:rsid w:val="00CB43A8"/>
    <w:rsid w:val="00CB698B"/>
    <w:rsid w:val="00CC2BC7"/>
    <w:rsid w:val="00CD4B85"/>
    <w:rsid w:val="00CE06A6"/>
    <w:rsid w:val="00CF015E"/>
    <w:rsid w:val="00D42C08"/>
    <w:rsid w:val="00D55092"/>
    <w:rsid w:val="00D74711"/>
    <w:rsid w:val="00D869BC"/>
    <w:rsid w:val="00D95A38"/>
    <w:rsid w:val="00D95E73"/>
    <w:rsid w:val="00DA2CED"/>
    <w:rsid w:val="00DD7405"/>
    <w:rsid w:val="00DE4555"/>
    <w:rsid w:val="00DF56DA"/>
    <w:rsid w:val="00E02FB3"/>
    <w:rsid w:val="00E10737"/>
    <w:rsid w:val="00E214B0"/>
    <w:rsid w:val="00E228C5"/>
    <w:rsid w:val="00E72333"/>
    <w:rsid w:val="00E72A83"/>
    <w:rsid w:val="00E7663E"/>
    <w:rsid w:val="00E771E3"/>
    <w:rsid w:val="00EA4CAD"/>
    <w:rsid w:val="00EB6F1B"/>
    <w:rsid w:val="00EC28D6"/>
    <w:rsid w:val="00EC4BBC"/>
    <w:rsid w:val="00ED3D50"/>
    <w:rsid w:val="00ED7B21"/>
    <w:rsid w:val="00F127AE"/>
    <w:rsid w:val="00F165FD"/>
    <w:rsid w:val="00F263F6"/>
    <w:rsid w:val="00F43A89"/>
    <w:rsid w:val="00F46395"/>
    <w:rsid w:val="00F46D92"/>
    <w:rsid w:val="00F5080A"/>
    <w:rsid w:val="00F5398F"/>
    <w:rsid w:val="00F72E24"/>
    <w:rsid w:val="00F8152B"/>
    <w:rsid w:val="00F8426F"/>
    <w:rsid w:val="00F94CDC"/>
    <w:rsid w:val="00FB3B77"/>
    <w:rsid w:val="00FC1F46"/>
    <w:rsid w:val="00FD200E"/>
    <w:rsid w:val="00FD5EB7"/>
    <w:rsid w:val="00FD69D4"/>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743"/>
    <w:rPr>
      <w:color w:val="0000FF"/>
      <w:u w:val="single"/>
    </w:rPr>
  </w:style>
  <w:style w:type="character" w:styleId="FollowedHyperlink">
    <w:name w:val="FollowedHyperlink"/>
    <w:rsid w:val="001B2743"/>
    <w:rPr>
      <w:color w:val="800000"/>
      <w:u w:val="single"/>
    </w:rPr>
  </w:style>
  <w:style w:type="paragraph" w:styleId="Header">
    <w:name w:val="header"/>
    <w:basedOn w:val="Normal"/>
    <w:rsid w:val="008E1496"/>
    <w:pPr>
      <w:tabs>
        <w:tab w:val="center" w:pos="4320"/>
        <w:tab w:val="right" w:pos="8640"/>
      </w:tabs>
    </w:pPr>
  </w:style>
  <w:style w:type="paragraph" w:styleId="Footer">
    <w:name w:val="footer"/>
    <w:basedOn w:val="Normal"/>
    <w:rsid w:val="008E1496"/>
    <w:pPr>
      <w:tabs>
        <w:tab w:val="center" w:pos="4320"/>
        <w:tab w:val="right" w:pos="8640"/>
      </w:tabs>
    </w:pPr>
  </w:style>
  <w:style w:type="character" w:styleId="PageNumber">
    <w:name w:val="page number"/>
    <w:basedOn w:val="DefaultParagraphFont"/>
    <w:rsid w:val="00CD4B85"/>
  </w:style>
  <w:style w:type="paragraph" w:styleId="BalloonText">
    <w:name w:val="Balloon Text"/>
    <w:basedOn w:val="Normal"/>
    <w:semiHidden/>
    <w:rsid w:val="00C3375A"/>
    <w:rPr>
      <w:rFonts w:ascii="Tahoma" w:hAnsi="Tahoma" w:cs="Tahoma"/>
      <w:sz w:val="16"/>
      <w:szCs w:val="16"/>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000"/>
    <w:pPr>
      <w:ind w:left="720"/>
      <w:contextualSpacing/>
    </w:pPr>
  </w:style>
  <w:style w:type="paragraph" w:customStyle="1" w:styleId="Default">
    <w:name w:val="Default"/>
    <w:rsid w:val="00906984"/>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B27C95"/>
    <w:rPr>
      <w:sz w:val="16"/>
      <w:szCs w:val="16"/>
    </w:rPr>
  </w:style>
  <w:style w:type="paragraph" w:styleId="CommentText">
    <w:name w:val="annotation text"/>
    <w:basedOn w:val="Normal"/>
    <w:link w:val="CommentTextChar"/>
    <w:uiPriority w:val="99"/>
    <w:semiHidden/>
    <w:unhideWhenUsed/>
    <w:rsid w:val="00B27C95"/>
  </w:style>
  <w:style w:type="character" w:customStyle="1" w:styleId="CommentTextChar">
    <w:name w:val="Comment Text Char"/>
    <w:basedOn w:val="DefaultParagraphFont"/>
    <w:link w:val="CommentText"/>
    <w:uiPriority w:val="99"/>
    <w:semiHidden/>
    <w:rsid w:val="00B27C95"/>
  </w:style>
  <w:style w:type="paragraph" w:styleId="CommentSubject">
    <w:name w:val="annotation subject"/>
    <w:basedOn w:val="CommentText"/>
    <w:next w:val="CommentText"/>
    <w:link w:val="CommentSubjectChar"/>
    <w:uiPriority w:val="99"/>
    <w:semiHidden/>
    <w:unhideWhenUsed/>
    <w:rsid w:val="00B27C95"/>
    <w:rPr>
      <w:b/>
      <w:bCs/>
    </w:rPr>
  </w:style>
  <w:style w:type="character" w:customStyle="1" w:styleId="CommentSubjectChar">
    <w:name w:val="Comment Subject Char"/>
    <w:basedOn w:val="CommentTextChar"/>
    <w:link w:val="CommentSubject"/>
    <w:uiPriority w:val="99"/>
    <w:semiHidden/>
    <w:rsid w:val="00B27C95"/>
    <w:rPr>
      <w:b/>
      <w:bCs/>
    </w:rPr>
  </w:style>
  <w:style w:type="character" w:customStyle="1" w:styleId="mctextpopupbody1">
    <w:name w:val="mctextpopupbody1"/>
    <w:basedOn w:val="DefaultParagraphFont"/>
    <w:rsid w:val="002E01A5"/>
    <w:rPr>
      <w:bdr w:val="single" w:sz="6" w:space="4" w:color="000000" w:frame="1"/>
      <w:shd w:val="clear" w:color="auto" w:fill="BBCCDD"/>
    </w:rPr>
  </w:style>
  <w:style w:type="paragraph" w:customStyle="1" w:styleId="body">
    <w:name w:val="body"/>
    <w:basedOn w:val="Normal"/>
    <w:rsid w:val="00436A9C"/>
    <w:pPr>
      <w:spacing w:before="80"/>
    </w:pPr>
    <w:rPr>
      <w:rFonts w:ascii="Book Antiqua" w:hAnsi="Book Antiqua"/>
      <w:spacing w:val="10"/>
      <w:sz w:val="18"/>
      <w:szCs w:val="18"/>
    </w:rPr>
  </w:style>
  <w:style w:type="paragraph" w:customStyle="1" w:styleId="italic">
    <w:name w:val="italic"/>
    <w:basedOn w:val="Normal"/>
    <w:rsid w:val="00436A9C"/>
    <w:rPr>
      <w:rFonts w:ascii="Book Antiqua" w:hAnsi="Book Antiqua"/>
      <w:i/>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743"/>
    <w:rPr>
      <w:color w:val="0000FF"/>
      <w:u w:val="single"/>
    </w:rPr>
  </w:style>
  <w:style w:type="character" w:styleId="FollowedHyperlink">
    <w:name w:val="FollowedHyperlink"/>
    <w:rsid w:val="001B2743"/>
    <w:rPr>
      <w:color w:val="800000"/>
      <w:u w:val="single"/>
    </w:rPr>
  </w:style>
  <w:style w:type="paragraph" w:styleId="Header">
    <w:name w:val="header"/>
    <w:basedOn w:val="Normal"/>
    <w:rsid w:val="008E1496"/>
    <w:pPr>
      <w:tabs>
        <w:tab w:val="center" w:pos="4320"/>
        <w:tab w:val="right" w:pos="8640"/>
      </w:tabs>
    </w:pPr>
  </w:style>
  <w:style w:type="paragraph" w:styleId="Footer">
    <w:name w:val="footer"/>
    <w:basedOn w:val="Normal"/>
    <w:rsid w:val="008E1496"/>
    <w:pPr>
      <w:tabs>
        <w:tab w:val="center" w:pos="4320"/>
        <w:tab w:val="right" w:pos="8640"/>
      </w:tabs>
    </w:pPr>
  </w:style>
  <w:style w:type="character" w:styleId="PageNumber">
    <w:name w:val="page number"/>
    <w:basedOn w:val="DefaultParagraphFont"/>
    <w:rsid w:val="00CD4B85"/>
  </w:style>
  <w:style w:type="paragraph" w:styleId="BalloonText">
    <w:name w:val="Balloon Text"/>
    <w:basedOn w:val="Normal"/>
    <w:semiHidden/>
    <w:rsid w:val="00C3375A"/>
    <w:rPr>
      <w:rFonts w:ascii="Tahoma" w:hAnsi="Tahoma" w:cs="Tahoma"/>
      <w:sz w:val="16"/>
      <w:szCs w:val="16"/>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000"/>
    <w:pPr>
      <w:ind w:left="720"/>
      <w:contextualSpacing/>
    </w:pPr>
  </w:style>
  <w:style w:type="paragraph" w:customStyle="1" w:styleId="Default">
    <w:name w:val="Default"/>
    <w:rsid w:val="00906984"/>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B27C95"/>
    <w:rPr>
      <w:sz w:val="16"/>
      <w:szCs w:val="16"/>
    </w:rPr>
  </w:style>
  <w:style w:type="paragraph" w:styleId="CommentText">
    <w:name w:val="annotation text"/>
    <w:basedOn w:val="Normal"/>
    <w:link w:val="CommentTextChar"/>
    <w:uiPriority w:val="99"/>
    <w:semiHidden/>
    <w:unhideWhenUsed/>
    <w:rsid w:val="00B27C95"/>
  </w:style>
  <w:style w:type="character" w:customStyle="1" w:styleId="CommentTextChar">
    <w:name w:val="Comment Text Char"/>
    <w:basedOn w:val="DefaultParagraphFont"/>
    <w:link w:val="CommentText"/>
    <w:uiPriority w:val="99"/>
    <w:semiHidden/>
    <w:rsid w:val="00B27C95"/>
  </w:style>
  <w:style w:type="paragraph" w:styleId="CommentSubject">
    <w:name w:val="annotation subject"/>
    <w:basedOn w:val="CommentText"/>
    <w:next w:val="CommentText"/>
    <w:link w:val="CommentSubjectChar"/>
    <w:uiPriority w:val="99"/>
    <w:semiHidden/>
    <w:unhideWhenUsed/>
    <w:rsid w:val="00B27C95"/>
    <w:rPr>
      <w:b/>
      <w:bCs/>
    </w:rPr>
  </w:style>
  <w:style w:type="character" w:customStyle="1" w:styleId="CommentSubjectChar">
    <w:name w:val="Comment Subject Char"/>
    <w:basedOn w:val="CommentTextChar"/>
    <w:link w:val="CommentSubject"/>
    <w:uiPriority w:val="99"/>
    <w:semiHidden/>
    <w:rsid w:val="00B27C95"/>
    <w:rPr>
      <w:b/>
      <w:bCs/>
    </w:rPr>
  </w:style>
  <w:style w:type="character" w:customStyle="1" w:styleId="mctextpopupbody1">
    <w:name w:val="mctextpopupbody1"/>
    <w:basedOn w:val="DefaultParagraphFont"/>
    <w:rsid w:val="002E01A5"/>
    <w:rPr>
      <w:bdr w:val="single" w:sz="6" w:space="4" w:color="000000" w:frame="1"/>
      <w:shd w:val="clear" w:color="auto" w:fill="BBCCDD"/>
    </w:rPr>
  </w:style>
  <w:style w:type="paragraph" w:customStyle="1" w:styleId="body">
    <w:name w:val="body"/>
    <w:basedOn w:val="Normal"/>
    <w:rsid w:val="00436A9C"/>
    <w:pPr>
      <w:spacing w:before="80"/>
    </w:pPr>
    <w:rPr>
      <w:rFonts w:ascii="Book Antiqua" w:hAnsi="Book Antiqua"/>
      <w:spacing w:val="10"/>
      <w:sz w:val="18"/>
      <w:szCs w:val="18"/>
    </w:rPr>
  </w:style>
  <w:style w:type="paragraph" w:customStyle="1" w:styleId="italic">
    <w:name w:val="italic"/>
    <w:basedOn w:val="Normal"/>
    <w:rsid w:val="00436A9C"/>
    <w:rPr>
      <w:rFonts w:ascii="Book Antiqua" w:hAnsi="Book Antiqua"/>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nsmission.Prescheduling@p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F26F-045F-4704-BEB7-DAD9537E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PGE Transmission has transitioned to E-Tag Based Scheduling</vt:lpstr>
    </vt:vector>
  </TitlesOfParts>
  <Company>Portland General Electric</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PGE Transmission has transitioned to E-Tag Based Scheduling</dc:title>
  <dc:creator>PGE</dc:creator>
  <cp:lastModifiedBy>Matt Richard</cp:lastModifiedBy>
  <cp:revision>2</cp:revision>
  <cp:lastPrinted>2014-10-09T22:53:00Z</cp:lastPrinted>
  <dcterms:created xsi:type="dcterms:W3CDTF">2015-10-01T14:50:00Z</dcterms:created>
  <dcterms:modified xsi:type="dcterms:W3CDTF">2015-10-01T14:50:00Z</dcterms:modified>
</cp:coreProperties>
</file>