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7FD" w:rsidRDefault="00DB07FD" w:rsidP="00DB07FD">
      <w:pPr>
        <w:pStyle w:val="Heading2"/>
        <w:rPr>
          <w:rFonts w:eastAsia="MS Mincho"/>
        </w:rPr>
      </w:pPr>
      <w:r>
        <w:t>2450</w:t>
      </w:r>
      <w:r>
        <w:tab/>
      </w:r>
      <w:r>
        <w:rPr>
          <w:rFonts w:eastAsia="MS Mincho"/>
        </w:rPr>
        <w:t xml:space="preserve">Allocation of Transmission Capacity for Requests Submitted during Simultaneous Submission Window </w:t>
      </w:r>
    </w:p>
    <w:p w:rsidR="00DB07FD" w:rsidRDefault="00DB07FD" w:rsidP="00DB07FD">
      <w:pPr>
        <w:pStyle w:val="Footer"/>
        <w:tabs>
          <w:tab w:val="clear" w:pos="4320"/>
          <w:tab w:val="clear" w:pos="8640"/>
        </w:tabs>
        <w:rPr>
          <w:rFonts w:eastAsia="MS Mincho"/>
        </w:rPr>
      </w:pPr>
    </w:p>
    <w:p w:rsidR="00DB07FD" w:rsidRDefault="00DB07FD" w:rsidP="00DB07FD">
      <w:r>
        <w:t>FERC Order 890</w:t>
      </w:r>
      <w:r>
        <w:rPr>
          <w:rStyle w:val="FootnoteReference"/>
        </w:rPr>
        <w:footnoteReference w:id="1"/>
      </w:r>
      <w:r>
        <w:t xml:space="preserve"> requires transmission providers who set a “no earlier than” time for request submittal to treat all transmission requests received within a specified period of time as having been received simultaneously, as well as propose a method for allocating transmission capacity if sufficient capacity is not available to meet all requests submitted within the specified time period.  (The opening windows for SPP are 12:00 noon and 12:00 midnight dependent upon Transmission Service Type as defined in Attachment P of the SPP OATT</w:t>
      </w:r>
      <w:r>
        <w:rPr>
          <w:rStyle w:val="FootnoteReference"/>
        </w:rPr>
        <w:footnoteReference w:id="2"/>
      </w:r>
      <w:r>
        <w:t xml:space="preserve">)  </w:t>
      </w:r>
      <w:proofErr w:type="gramStart"/>
      <w:r>
        <w:t>This business practice outlines the method for allocating capacity for requests that must adhere to a “no earlier than” submittal time and are deemed to have been submitted within the simultaneous submission window (SSW) required by FERC Order 890 and Attachment P Timing Requirements.</w:t>
      </w:r>
      <w:proofErr w:type="gramEnd"/>
    </w:p>
    <w:p w:rsidR="00DB07FD" w:rsidRDefault="00DB07FD" w:rsidP="00DB07FD">
      <w:pPr>
        <w:pStyle w:val="Heading4"/>
        <w:rPr>
          <w:sz w:val="24"/>
        </w:rPr>
      </w:pPr>
      <w:r>
        <w:rPr>
          <w:sz w:val="24"/>
        </w:rPr>
        <w:t>Business Practice</w:t>
      </w:r>
    </w:p>
    <w:p w:rsidR="00DB07FD" w:rsidRDefault="00DB07FD" w:rsidP="00DB07FD">
      <w:pPr>
        <w:autoSpaceDE w:val="0"/>
        <w:autoSpaceDN w:val="0"/>
        <w:adjustRightInd w:val="0"/>
        <w:rPr>
          <w:rFonts w:cs="Calibri"/>
        </w:rPr>
      </w:pPr>
    </w:p>
    <w:p w:rsidR="00DB07FD" w:rsidRDefault="00DB07FD" w:rsidP="00DB07FD">
      <w:pPr>
        <w:autoSpaceDE w:val="0"/>
        <w:autoSpaceDN w:val="0"/>
        <w:adjustRightInd w:val="0"/>
        <w:rPr>
          <w:rFonts w:cs="Calibri"/>
        </w:rPr>
      </w:pPr>
      <w:r>
        <w:rPr>
          <w:rFonts w:cs="Calibri"/>
        </w:rPr>
        <w:t xml:space="preserve">The SPP OASIS, through the SSW module, manages all the requirements for determining when the SPP configured SSW is open as well as detecting which Transmission Service Requests (TSRs) are to be identified as SSW requests. </w:t>
      </w:r>
    </w:p>
    <w:p w:rsidR="00DB07FD" w:rsidRDefault="00DB07FD" w:rsidP="00DB07FD">
      <w:pPr>
        <w:autoSpaceDE w:val="0"/>
        <w:autoSpaceDN w:val="0"/>
        <w:adjustRightInd w:val="0"/>
        <w:rPr>
          <w:rFonts w:cs="Calibri"/>
        </w:rPr>
      </w:pPr>
    </w:p>
    <w:p w:rsidR="00DB07FD" w:rsidRDefault="00DB07FD" w:rsidP="00DB07FD">
      <w:pPr>
        <w:autoSpaceDE w:val="0"/>
        <w:autoSpaceDN w:val="0"/>
        <w:adjustRightInd w:val="0"/>
        <w:rPr>
          <w:rFonts w:cs="Calibri"/>
        </w:rPr>
      </w:pPr>
      <w:r>
        <w:rPr>
          <w:rFonts w:cs="Calibri"/>
        </w:rPr>
        <w:t>SPP webTrans receives all TSRs submitted on SPP OASIS and performs the following special processing as part of the SSW Module functionality:</w:t>
      </w:r>
    </w:p>
    <w:p w:rsidR="00DB07FD" w:rsidRDefault="00DB07FD" w:rsidP="00DB07FD">
      <w:pPr>
        <w:autoSpaceDE w:val="0"/>
        <w:autoSpaceDN w:val="0"/>
        <w:adjustRightInd w:val="0"/>
        <w:rPr>
          <w:rFonts w:cs="Calibri"/>
        </w:rPr>
      </w:pPr>
    </w:p>
    <w:p w:rsidR="00DB07FD" w:rsidRDefault="00DB07FD" w:rsidP="00DB07FD">
      <w:pPr>
        <w:pStyle w:val="ListParagraph"/>
        <w:numPr>
          <w:ilvl w:val="0"/>
          <w:numId w:val="1"/>
        </w:numPr>
        <w:autoSpaceDE w:val="0"/>
        <w:autoSpaceDN w:val="0"/>
        <w:adjustRightInd w:val="0"/>
        <w:spacing w:after="0" w:line="240" w:lineRule="auto"/>
        <w:rPr>
          <w:rFonts w:cs="Calibri"/>
        </w:rPr>
      </w:pPr>
      <w:r>
        <w:rPr>
          <w:rFonts w:cs="Calibri"/>
        </w:rPr>
        <w:t>Each received TSR is validated against the various SPP TSR business rule validation criteria configured for the requested service.</w:t>
      </w:r>
    </w:p>
    <w:p w:rsidR="00DB07FD" w:rsidRDefault="00DB07FD" w:rsidP="00DB07FD">
      <w:pPr>
        <w:pStyle w:val="ListParagraph"/>
        <w:numPr>
          <w:ilvl w:val="0"/>
          <w:numId w:val="1"/>
        </w:numPr>
        <w:autoSpaceDE w:val="0"/>
        <w:autoSpaceDN w:val="0"/>
        <w:adjustRightInd w:val="0"/>
        <w:spacing w:after="0" w:line="240" w:lineRule="auto"/>
        <w:rPr>
          <w:rFonts w:cs="Calibri"/>
        </w:rPr>
      </w:pPr>
      <w:r>
        <w:rPr>
          <w:rFonts w:cs="Calibri"/>
        </w:rPr>
        <w:t>ATC/AFC validation applies the impacts of TSR to all modeled Transmission System</w:t>
      </w:r>
    </w:p>
    <w:p w:rsidR="00DB07FD" w:rsidRDefault="00DB07FD" w:rsidP="00DB07FD">
      <w:pPr>
        <w:pStyle w:val="ListParagraph"/>
        <w:autoSpaceDE w:val="0"/>
        <w:autoSpaceDN w:val="0"/>
        <w:adjustRightInd w:val="0"/>
        <w:spacing w:after="0" w:line="240" w:lineRule="auto"/>
        <w:rPr>
          <w:rFonts w:cs="Calibri"/>
        </w:rPr>
      </w:pPr>
      <w:proofErr w:type="gramStart"/>
      <w:r>
        <w:rPr>
          <w:rFonts w:cs="Calibri"/>
        </w:rPr>
        <w:t>elements</w:t>
      </w:r>
      <w:proofErr w:type="gramEnd"/>
      <w:r>
        <w:rPr>
          <w:rFonts w:cs="Calibri"/>
        </w:rPr>
        <w:t xml:space="preserve"> based on TSR queued time.</w:t>
      </w:r>
    </w:p>
    <w:p w:rsidR="00DB07FD" w:rsidRDefault="00DB07FD" w:rsidP="00DB07FD">
      <w:pPr>
        <w:pStyle w:val="ListParagraph"/>
        <w:numPr>
          <w:ilvl w:val="0"/>
          <w:numId w:val="1"/>
        </w:numPr>
        <w:autoSpaceDE w:val="0"/>
        <w:autoSpaceDN w:val="0"/>
        <w:adjustRightInd w:val="0"/>
        <w:spacing w:after="0" w:line="240" w:lineRule="auto"/>
        <w:rPr>
          <w:rFonts w:cs="Calibri"/>
        </w:rPr>
      </w:pPr>
      <w:r>
        <w:rPr>
          <w:rFonts w:cs="Calibri"/>
        </w:rPr>
        <w:t xml:space="preserve">Final ATC/AFC PASS/FAIL validation for all SSW TSRs is deferred from final processing until the SSW window closes. </w:t>
      </w:r>
    </w:p>
    <w:p w:rsidR="00DB07FD" w:rsidRDefault="00DB07FD" w:rsidP="00DB07FD">
      <w:pPr>
        <w:pStyle w:val="ListParagraph"/>
        <w:numPr>
          <w:ilvl w:val="1"/>
          <w:numId w:val="1"/>
        </w:numPr>
        <w:autoSpaceDE w:val="0"/>
        <w:autoSpaceDN w:val="0"/>
        <w:adjustRightInd w:val="0"/>
        <w:spacing w:after="0" w:line="240" w:lineRule="auto"/>
        <w:rPr>
          <w:rFonts w:cs="Calibri"/>
        </w:rPr>
      </w:pPr>
      <w:r>
        <w:rPr>
          <w:rFonts w:cs="Calibri"/>
        </w:rPr>
        <w:t>All non-SSW requests are processed and acted on as they are received, without interruption.</w:t>
      </w:r>
    </w:p>
    <w:p w:rsidR="00DB07FD" w:rsidRDefault="00DB07FD" w:rsidP="00DB07FD">
      <w:pPr>
        <w:pStyle w:val="ListParagraph"/>
        <w:numPr>
          <w:ilvl w:val="0"/>
          <w:numId w:val="1"/>
        </w:numPr>
        <w:autoSpaceDE w:val="0"/>
        <w:autoSpaceDN w:val="0"/>
        <w:adjustRightInd w:val="0"/>
        <w:spacing w:after="0" w:line="240" w:lineRule="auto"/>
        <w:rPr>
          <w:rFonts w:cs="Calibri"/>
        </w:rPr>
      </w:pPr>
      <w:r>
        <w:rPr>
          <w:rFonts w:cs="Calibri"/>
        </w:rPr>
        <w:t>When the configured SSW closes:</w:t>
      </w:r>
    </w:p>
    <w:p w:rsidR="00DB07FD" w:rsidRDefault="00DB07FD" w:rsidP="00DB07FD">
      <w:pPr>
        <w:pStyle w:val="ListParagraph"/>
        <w:numPr>
          <w:ilvl w:val="1"/>
          <w:numId w:val="1"/>
        </w:numPr>
        <w:autoSpaceDE w:val="0"/>
        <w:autoSpaceDN w:val="0"/>
        <w:adjustRightInd w:val="0"/>
        <w:spacing w:after="0" w:line="240" w:lineRule="auto"/>
        <w:rPr>
          <w:rFonts w:cs="Calibri"/>
        </w:rPr>
      </w:pPr>
      <w:r>
        <w:rPr>
          <w:rFonts w:cs="Calibri"/>
        </w:rPr>
        <w:t>SPP webTrans establishes an effective queue time for all requests received within the SSW, ending when the SSW closes.</w:t>
      </w:r>
    </w:p>
    <w:p w:rsidR="00DB07FD" w:rsidRDefault="00DB07FD" w:rsidP="00DB07FD">
      <w:pPr>
        <w:pStyle w:val="ListParagraph"/>
        <w:numPr>
          <w:ilvl w:val="1"/>
          <w:numId w:val="1"/>
        </w:numPr>
        <w:autoSpaceDE w:val="0"/>
        <w:autoSpaceDN w:val="0"/>
        <w:adjustRightInd w:val="0"/>
        <w:spacing w:after="0" w:line="240" w:lineRule="auto"/>
        <w:rPr>
          <w:rFonts w:cs="Calibri"/>
        </w:rPr>
      </w:pPr>
      <w:r>
        <w:rPr>
          <w:rFonts w:cs="Calibri"/>
        </w:rPr>
        <w:t>SPP webTrans executes a SPP configured SSW Module allocation method to award</w:t>
      </w:r>
    </w:p>
    <w:p w:rsidR="00DB07FD" w:rsidRDefault="00DB07FD" w:rsidP="00DB07FD">
      <w:pPr>
        <w:ind w:left="1440"/>
        <w:rPr>
          <w:rFonts w:cs="Calibri"/>
        </w:rPr>
      </w:pPr>
      <w:proofErr w:type="gramStart"/>
      <w:r>
        <w:rPr>
          <w:rFonts w:cs="Calibri"/>
        </w:rPr>
        <w:t>capacity</w:t>
      </w:r>
      <w:proofErr w:type="gramEnd"/>
      <w:r>
        <w:rPr>
          <w:rFonts w:cs="Calibri"/>
        </w:rPr>
        <w:t xml:space="preserve"> to each SSW request.</w:t>
      </w:r>
    </w:p>
    <w:p w:rsidR="00DB07FD" w:rsidRDefault="00DB07FD" w:rsidP="00DB07FD">
      <w:pPr>
        <w:autoSpaceDE w:val="0"/>
        <w:autoSpaceDN w:val="0"/>
        <w:adjustRightInd w:val="0"/>
        <w:rPr>
          <w:rFonts w:cs="Calibri"/>
        </w:rPr>
      </w:pPr>
      <w:r>
        <w:rPr>
          <w:rFonts w:cs="Calibri"/>
        </w:rPr>
        <w:t>The webTrans SSW Module implements a SPP configured Customer Lottery Allocation method to award transmission capacity to TSRs submitted within the defined SSW.  After close of the SSW, the Customer Allocation Lottery establishes the order in which queued TSRs are processed. This order is determined as follows:</w:t>
      </w:r>
    </w:p>
    <w:p w:rsidR="00DB07FD" w:rsidRDefault="00DB07FD" w:rsidP="00DB07FD">
      <w:pPr>
        <w:autoSpaceDE w:val="0"/>
        <w:autoSpaceDN w:val="0"/>
        <w:adjustRightInd w:val="0"/>
        <w:rPr>
          <w:rFonts w:cs="Calibri"/>
        </w:rPr>
      </w:pPr>
    </w:p>
    <w:p w:rsidR="00DB07FD" w:rsidRDefault="00DB07FD" w:rsidP="00DB07FD">
      <w:pPr>
        <w:pStyle w:val="ListParagraph"/>
        <w:numPr>
          <w:ilvl w:val="0"/>
          <w:numId w:val="2"/>
        </w:numPr>
        <w:autoSpaceDE w:val="0"/>
        <w:autoSpaceDN w:val="0"/>
        <w:adjustRightInd w:val="0"/>
        <w:spacing w:after="0" w:line="240" w:lineRule="auto"/>
        <w:rPr>
          <w:rFonts w:cs="Calibri"/>
        </w:rPr>
      </w:pPr>
      <w:r>
        <w:rPr>
          <w:rFonts w:cs="Calibri"/>
        </w:rPr>
        <w:lastRenderedPageBreak/>
        <w:t>Sort all requests submitted within the SSW into different priority tiers in the following priority order:</w:t>
      </w:r>
    </w:p>
    <w:p w:rsidR="00DB07FD" w:rsidRDefault="00DB07FD" w:rsidP="00DB07FD">
      <w:pPr>
        <w:pStyle w:val="ListParagraph"/>
        <w:numPr>
          <w:ilvl w:val="1"/>
          <w:numId w:val="2"/>
        </w:numPr>
        <w:autoSpaceDE w:val="0"/>
        <w:autoSpaceDN w:val="0"/>
        <w:adjustRightInd w:val="0"/>
        <w:spacing w:after="0" w:line="240" w:lineRule="auto"/>
        <w:rPr>
          <w:rFonts w:cs="Calibri"/>
        </w:rPr>
      </w:pPr>
      <w:r>
        <w:rPr>
          <w:rFonts w:cs="Calibri"/>
        </w:rPr>
        <w:t>Request NERC Curtailment Priority</w:t>
      </w:r>
    </w:p>
    <w:p w:rsidR="00DB07FD" w:rsidRDefault="00DB07FD" w:rsidP="00DB07FD">
      <w:pPr>
        <w:pStyle w:val="ListParagraph"/>
        <w:numPr>
          <w:ilvl w:val="1"/>
          <w:numId w:val="2"/>
        </w:numPr>
        <w:autoSpaceDE w:val="0"/>
        <w:autoSpaceDN w:val="0"/>
        <w:adjustRightInd w:val="0"/>
        <w:spacing w:after="0" w:line="240" w:lineRule="auto"/>
        <w:rPr>
          <w:rFonts w:cs="Calibri"/>
        </w:rPr>
      </w:pPr>
      <w:r>
        <w:rPr>
          <w:rFonts w:cs="Calibri"/>
        </w:rPr>
        <w:t>Request Duration</w:t>
      </w:r>
    </w:p>
    <w:p w:rsidR="00DB07FD" w:rsidRDefault="00DB07FD" w:rsidP="00DB07FD">
      <w:pPr>
        <w:pStyle w:val="ListParagraph"/>
        <w:numPr>
          <w:ilvl w:val="1"/>
          <w:numId w:val="2"/>
        </w:numPr>
        <w:autoSpaceDE w:val="0"/>
        <w:autoSpaceDN w:val="0"/>
        <w:adjustRightInd w:val="0"/>
        <w:spacing w:after="0" w:line="240" w:lineRule="auto"/>
        <w:rPr>
          <w:rFonts w:cs="Calibri"/>
        </w:rPr>
      </w:pPr>
      <w:r>
        <w:rPr>
          <w:rFonts w:cs="Calibri"/>
        </w:rPr>
        <w:t>Request Pre-Confirmation Status</w:t>
      </w:r>
    </w:p>
    <w:p w:rsidR="00DB07FD" w:rsidRDefault="00DB07FD" w:rsidP="00DB07FD">
      <w:pPr>
        <w:pStyle w:val="ListParagraph"/>
        <w:autoSpaceDE w:val="0"/>
        <w:autoSpaceDN w:val="0"/>
        <w:adjustRightInd w:val="0"/>
        <w:spacing w:after="0" w:line="240" w:lineRule="auto"/>
        <w:ind w:left="1080"/>
        <w:rPr>
          <w:rFonts w:cs="Calibri"/>
        </w:rPr>
      </w:pPr>
    </w:p>
    <w:p w:rsidR="00DB07FD" w:rsidRDefault="00DB07FD" w:rsidP="00DB07FD">
      <w:pPr>
        <w:pStyle w:val="ListParagraph"/>
        <w:numPr>
          <w:ilvl w:val="0"/>
          <w:numId w:val="2"/>
        </w:numPr>
        <w:autoSpaceDE w:val="0"/>
        <w:autoSpaceDN w:val="0"/>
        <w:adjustRightInd w:val="0"/>
        <w:spacing w:after="0" w:line="240" w:lineRule="auto"/>
        <w:rPr>
          <w:rFonts w:cs="Calibri"/>
        </w:rPr>
      </w:pPr>
      <w:r>
        <w:rPr>
          <w:rFonts w:cs="Calibri"/>
        </w:rPr>
        <w:t>For each set of requests that go through the above three  criteria and arrive at the same</w:t>
      </w:r>
    </w:p>
    <w:p w:rsidR="00DB07FD" w:rsidRDefault="00DB07FD" w:rsidP="00DB07FD">
      <w:pPr>
        <w:autoSpaceDE w:val="0"/>
        <w:autoSpaceDN w:val="0"/>
        <w:adjustRightInd w:val="0"/>
        <w:ind w:left="720"/>
        <w:rPr>
          <w:rFonts w:cs="Calibri"/>
        </w:rPr>
      </w:pPr>
      <w:proofErr w:type="gramStart"/>
      <w:r>
        <w:rPr>
          <w:rFonts w:cs="Calibri"/>
        </w:rPr>
        <w:t>priority</w:t>
      </w:r>
      <w:proofErr w:type="gramEnd"/>
      <w:r>
        <w:rPr>
          <w:rFonts w:cs="Calibri"/>
        </w:rPr>
        <w:t>:</w:t>
      </w:r>
    </w:p>
    <w:p w:rsidR="00DB07FD" w:rsidRDefault="00DB07FD" w:rsidP="00DB07FD">
      <w:pPr>
        <w:pStyle w:val="ListParagraph"/>
        <w:numPr>
          <w:ilvl w:val="0"/>
          <w:numId w:val="3"/>
        </w:numPr>
        <w:autoSpaceDE w:val="0"/>
        <w:autoSpaceDN w:val="0"/>
        <w:adjustRightInd w:val="0"/>
        <w:spacing w:after="0" w:line="240" w:lineRule="auto"/>
        <w:rPr>
          <w:rFonts w:cs="Calibri"/>
        </w:rPr>
      </w:pPr>
      <w:r>
        <w:rPr>
          <w:rFonts w:cs="Calibri"/>
        </w:rPr>
        <w:t>Assign a customer selection order at random from the set of distinct customers that have submitted TSRs within that priority tier</w:t>
      </w:r>
    </w:p>
    <w:p w:rsidR="00DB07FD" w:rsidRDefault="00DB07FD" w:rsidP="00DB07FD">
      <w:pPr>
        <w:pStyle w:val="ListParagraph"/>
        <w:numPr>
          <w:ilvl w:val="0"/>
          <w:numId w:val="3"/>
        </w:numPr>
        <w:autoSpaceDE w:val="0"/>
        <w:autoSpaceDN w:val="0"/>
        <w:adjustRightInd w:val="0"/>
        <w:spacing w:after="0" w:line="240" w:lineRule="auto"/>
        <w:rPr>
          <w:rFonts w:cs="Calibri"/>
        </w:rPr>
      </w:pPr>
      <w:r>
        <w:rPr>
          <w:rFonts w:cs="Calibri"/>
        </w:rPr>
        <w:t>Each of those customers gets a round-robin lottery queue position assigned to each of their submitted TSRs</w:t>
      </w:r>
    </w:p>
    <w:p w:rsidR="00DB07FD" w:rsidRDefault="00DB07FD" w:rsidP="00DB07FD">
      <w:pPr>
        <w:pStyle w:val="ListParagraph"/>
        <w:numPr>
          <w:ilvl w:val="0"/>
          <w:numId w:val="3"/>
        </w:numPr>
        <w:autoSpaceDE w:val="0"/>
        <w:autoSpaceDN w:val="0"/>
        <w:adjustRightInd w:val="0"/>
        <w:spacing w:after="0" w:line="240" w:lineRule="auto"/>
        <w:rPr>
          <w:rFonts w:cs="Calibri"/>
        </w:rPr>
      </w:pPr>
      <w:r>
        <w:rPr>
          <w:rFonts w:cs="Calibri"/>
        </w:rPr>
        <w:t>Once all TSRs in the SSW have been assigned a lottery evaluation order, webTrans will complete the final ATC/AFC validation for each TSR in lottery order</w:t>
      </w:r>
    </w:p>
    <w:p w:rsidR="00DB07FD" w:rsidRDefault="00DB07FD" w:rsidP="00DB07FD">
      <w:pPr>
        <w:autoSpaceDE w:val="0"/>
        <w:autoSpaceDN w:val="0"/>
        <w:adjustRightInd w:val="0"/>
        <w:rPr>
          <w:rFonts w:cs="Calibri"/>
        </w:rPr>
      </w:pPr>
    </w:p>
    <w:p w:rsidR="00DB07FD" w:rsidRDefault="00DB07FD" w:rsidP="00DB07FD">
      <w:pPr>
        <w:autoSpaceDE w:val="0"/>
        <w:autoSpaceDN w:val="0"/>
        <w:adjustRightInd w:val="0"/>
        <w:rPr>
          <w:rFonts w:cs="Calibri"/>
        </w:rPr>
      </w:pPr>
      <w:r>
        <w:rPr>
          <w:rFonts w:cs="Calibri"/>
        </w:rPr>
        <w:t>The SSW Module Allocation Lottery process establishes the relative order for evaluation of SSW TSRs within the overall queue of pending requests being processed within webTrans. The actions taken on those TSRs, including offer of partial service, initiation of the Preemption and Competition process, etc., are handled identically to the evaluation of any non-SSW request in pending queue order.</w:t>
      </w:r>
    </w:p>
    <w:p w:rsidR="00DB07FD" w:rsidRDefault="00DB07FD" w:rsidP="00DB07FD">
      <w:pPr>
        <w:autoSpaceDE w:val="0"/>
        <w:autoSpaceDN w:val="0"/>
        <w:adjustRightInd w:val="0"/>
        <w:rPr>
          <w:rFonts w:cs="Calibri"/>
        </w:rPr>
      </w:pPr>
    </w:p>
    <w:p w:rsidR="00DB07FD" w:rsidRDefault="00DB07FD" w:rsidP="00DB07FD">
      <w:pPr>
        <w:rPr>
          <w:rFonts w:cs="Calibri"/>
        </w:rPr>
      </w:pPr>
      <w:r>
        <w:rPr>
          <w:rFonts w:cs="Calibri"/>
        </w:rPr>
        <w:t>Requests accepted in accordance with this Business practice remain subject to displacement due to the scheduling of Firm service and/or the submittal of a request of higher priority and/or longer duration.</w:t>
      </w:r>
    </w:p>
    <w:p w:rsidR="00DB07FD" w:rsidRDefault="00DB07FD" w:rsidP="00DB07FD"/>
    <w:p w:rsidR="00DB07FD" w:rsidRDefault="00DB07FD" w:rsidP="00DB07FD"/>
    <w:p w:rsidR="00DB07FD" w:rsidRDefault="00DB07FD" w:rsidP="00DB07FD"/>
    <w:p w:rsidR="00DB07FD" w:rsidRDefault="00DB07FD" w:rsidP="00DB07FD"/>
    <w:p w:rsidR="00DB07FD" w:rsidRDefault="00DB07FD" w:rsidP="00DB07FD"/>
    <w:p w:rsidR="00DB07FD" w:rsidRDefault="00DB07FD" w:rsidP="00DB07FD"/>
    <w:p w:rsidR="00DB07FD" w:rsidRDefault="00DB07FD" w:rsidP="00DB07FD"/>
    <w:p w:rsidR="00DB07FD" w:rsidRDefault="00DB07FD" w:rsidP="00DB07FD">
      <w:pPr>
        <w:jc w:val="center"/>
        <w:rPr>
          <w:b/>
          <w:u w:val="single"/>
        </w:rPr>
      </w:pPr>
      <w:r>
        <w:rPr>
          <w:b/>
          <w:u w:val="single"/>
        </w:rPr>
        <w:t>SSW processing Example:</w:t>
      </w:r>
    </w:p>
    <w:p w:rsidR="00DB07FD" w:rsidRDefault="00DB07FD" w:rsidP="00DB07FD">
      <w:pPr>
        <w:jc w:val="center"/>
        <w:rPr>
          <w:b/>
          <w:u w:val="single"/>
        </w:rPr>
      </w:pPr>
    </w:p>
    <w:p w:rsidR="00DB07FD" w:rsidRDefault="00DB07FD" w:rsidP="00DB07FD">
      <w:pPr>
        <w:rPr>
          <w:b/>
        </w:rPr>
      </w:pPr>
      <w:r>
        <w:rPr>
          <w:b/>
        </w:rPr>
        <w:t>Sample TSR queue at close of SSW window:</w:t>
      </w:r>
    </w:p>
    <w:p w:rsidR="00DB07FD" w:rsidRDefault="00DB07FD" w:rsidP="00DB07FD">
      <w:pPr>
        <w:jc w:val="center"/>
        <w:rPr>
          <w:b/>
          <w:u w:val="single"/>
        </w:rPr>
      </w:pPr>
    </w:p>
    <w:p w:rsidR="00DB07FD" w:rsidRDefault="00DB07FD" w:rsidP="00DB07FD">
      <w:pPr>
        <w:jc w:val="center"/>
        <w:rPr>
          <w:b/>
          <w:u w:val="single"/>
        </w:rPr>
      </w:pPr>
      <w:r>
        <w:rPr>
          <w:noProof/>
        </w:rPr>
        <w:lastRenderedPageBreak/>
        <w:drawing>
          <wp:inline distT="0" distB="0" distL="0" distR="0">
            <wp:extent cx="5132705" cy="2527300"/>
            <wp:effectExtent l="19050" t="19050" r="10795"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32705" cy="2527300"/>
                    </a:xfrm>
                    <a:prstGeom prst="rect">
                      <a:avLst/>
                    </a:prstGeom>
                    <a:noFill/>
                    <a:ln w="6350" cmpd="sng">
                      <a:solidFill>
                        <a:srgbClr val="000000"/>
                      </a:solidFill>
                      <a:miter lim="800000"/>
                      <a:headEnd/>
                      <a:tailEnd/>
                    </a:ln>
                    <a:effectLst/>
                  </pic:spPr>
                </pic:pic>
              </a:graphicData>
            </a:graphic>
          </wp:inline>
        </w:drawing>
      </w:r>
    </w:p>
    <w:p w:rsidR="00DB07FD" w:rsidRDefault="00DB07FD" w:rsidP="00DB07FD"/>
    <w:p w:rsidR="00DB07FD" w:rsidRDefault="00DB07FD" w:rsidP="00DB07FD">
      <w:pPr>
        <w:jc w:val="both"/>
        <w:rPr>
          <w:b/>
        </w:rPr>
      </w:pPr>
      <w:r>
        <w:rPr>
          <w:b/>
        </w:rPr>
        <w:t>At close of SSW window, module established “buckets” of requests of same NERC priority, duration and pre-confirmation status.</w:t>
      </w:r>
    </w:p>
    <w:p w:rsidR="00DB07FD" w:rsidRDefault="00DB07FD" w:rsidP="00DB07FD"/>
    <w:p w:rsidR="00DB07FD" w:rsidRDefault="00DB07FD" w:rsidP="00DB07FD"/>
    <w:p w:rsidR="00DB07FD" w:rsidRDefault="00DB07FD" w:rsidP="00DB07FD">
      <w:pPr>
        <w:jc w:val="center"/>
      </w:pPr>
      <w:r>
        <w:rPr>
          <w:noProof/>
        </w:rPr>
        <w:drawing>
          <wp:inline distT="0" distB="0" distL="0" distR="0">
            <wp:extent cx="3191510" cy="3588385"/>
            <wp:effectExtent l="38100" t="19050" r="2794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191510" cy="3588385"/>
                    </a:xfrm>
                    <a:prstGeom prst="rect">
                      <a:avLst/>
                    </a:prstGeom>
                    <a:noFill/>
                    <a:ln w="6350" cmpd="sng">
                      <a:solidFill>
                        <a:srgbClr val="000000"/>
                      </a:solidFill>
                      <a:miter lim="800000"/>
                      <a:headEnd/>
                      <a:tailEnd/>
                    </a:ln>
                    <a:effectLst/>
                  </pic:spPr>
                </pic:pic>
              </a:graphicData>
            </a:graphic>
          </wp:inline>
        </w:drawing>
      </w:r>
    </w:p>
    <w:p w:rsidR="00DB07FD" w:rsidRDefault="00DB07FD" w:rsidP="00DB07FD">
      <w:pPr>
        <w:jc w:val="center"/>
      </w:pPr>
    </w:p>
    <w:p w:rsidR="00DB07FD" w:rsidRDefault="00DB07FD" w:rsidP="00DB07FD">
      <w:pPr>
        <w:rPr>
          <w:b/>
        </w:rPr>
      </w:pPr>
      <w:r>
        <w:rPr>
          <w:b/>
        </w:rPr>
        <w:t>SSW “Bucket” processing sequence:</w:t>
      </w:r>
    </w:p>
    <w:p w:rsidR="00DB07FD" w:rsidRDefault="00DB07FD" w:rsidP="00DB07FD"/>
    <w:tbl>
      <w:tblPr>
        <w:tblW w:w="10830" w:type="dxa"/>
        <w:tblInd w:w="93" w:type="dxa"/>
        <w:tblLook w:val="04A0"/>
      </w:tblPr>
      <w:tblGrid>
        <w:gridCol w:w="280"/>
        <w:gridCol w:w="280"/>
        <w:gridCol w:w="280"/>
        <w:gridCol w:w="280"/>
        <w:gridCol w:w="280"/>
        <w:gridCol w:w="280"/>
        <w:gridCol w:w="280"/>
        <w:gridCol w:w="280"/>
        <w:gridCol w:w="280"/>
        <w:gridCol w:w="280"/>
        <w:gridCol w:w="280"/>
        <w:gridCol w:w="2455"/>
        <w:gridCol w:w="280"/>
        <w:gridCol w:w="280"/>
        <w:gridCol w:w="280"/>
        <w:gridCol w:w="280"/>
        <w:gridCol w:w="280"/>
        <w:gridCol w:w="2215"/>
        <w:gridCol w:w="280"/>
        <w:gridCol w:w="280"/>
        <w:gridCol w:w="280"/>
        <w:gridCol w:w="280"/>
        <w:gridCol w:w="280"/>
        <w:gridCol w:w="280"/>
      </w:tblGrid>
      <w:tr w:rsidR="00DB07FD" w:rsidTr="009341EA">
        <w:trPr>
          <w:trHeight w:val="300"/>
        </w:trPr>
        <w:tc>
          <w:tcPr>
            <w:tcW w:w="10830" w:type="dxa"/>
            <w:gridSpan w:val="24"/>
            <w:tcBorders>
              <w:top w:val="nil"/>
              <w:left w:val="nil"/>
              <w:bottom w:val="nil"/>
              <w:right w:val="nil"/>
            </w:tcBorders>
            <w:shd w:val="clear" w:color="auto" w:fill="auto"/>
            <w:noWrap/>
            <w:vAlign w:val="bottom"/>
            <w:hideMark/>
          </w:tcPr>
          <w:p w:rsidR="00DB07FD" w:rsidRDefault="00DB07FD" w:rsidP="00DB07FD">
            <w:pPr>
              <w:numPr>
                <w:ilvl w:val="0"/>
                <w:numId w:val="4"/>
              </w:numPr>
              <w:rPr>
                <w:rFonts w:ascii="Calibri" w:hAnsi="Calibri" w:cs="Calibri"/>
                <w:color w:val="000000"/>
                <w:sz w:val="22"/>
                <w:szCs w:val="22"/>
              </w:rPr>
            </w:pPr>
            <w:r>
              <w:rPr>
                <w:rFonts w:ascii="Calibri" w:hAnsi="Calibri" w:cs="Calibri"/>
                <w:color w:val="000000"/>
                <w:sz w:val="22"/>
                <w:szCs w:val="22"/>
              </w:rPr>
              <w:t>SSW module identifies 3 customers:  customer A, B, and C  (any/all buckets)</w:t>
            </w:r>
          </w:p>
        </w:tc>
      </w:tr>
      <w:tr w:rsidR="00DB07FD" w:rsidTr="009341EA">
        <w:trPr>
          <w:trHeight w:val="300"/>
        </w:trPr>
        <w:tc>
          <w:tcPr>
            <w:tcW w:w="10270" w:type="dxa"/>
            <w:gridSpan w:val="22"/>
            <w:tcBorders>
              <w:top w:val="nil"/>
              <w:left w:val="nil"/>
              <w:bottom w:val="nil"/>
              <w:right w:val="nil"/>
            </w:tcBorders>
            <w:shd w:val="clear" w:color="auto" w:fill="auto"/>
            <w:noWrap/>
            <w:vAlign w:val="bottom"/>
            <w:hideMark/>
          </w:tcPr>
          <w:p w:rsidR="00DB07FD" w:rsidRDefault="00DB07FD" w:rsidP="00DB07FD">
            <w:pPr>
              <w:numPr>
                <w:ilvl w:val="0"/>
                <w:numId w:val="4"/>
              </w:numPr>
              <w:rPr>
                <w:rFonts w:ascii="Calibri" w:hAnsi="Calibri" w:cs="Calibri"/>
                <w:color w:val="000000"/>
                <w:sz w:val="22"/>
                <w:szCs w:val="22"/>
              </w:rPr>
            </w:pPr>
            <w:r>
              <w:rPr>
                <w:rFonts w:ascii="Calibri" w:hAnsi="Calibri" w:cs="Calibri"/>
                <w:color w:val="000000"/>
                <w:sz w:val="22"/>
                <w:szCs w:val="22"/>
              </w:rPr>
              <w:t>Customer Lottery process identifies a random  "Customer Order"</w:t>
            </w: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r>
      <w:tr w:rsidR="00DB07FD" w:rsidTr="009341EA">
        <w:trPr>
          <w:trHeight w:val="300"/>
        </w:trPr>
        <w:tc>
          <w:tcPr>
            <w:tcW w:w="9150" w:type="dxa"/>
            <w:gridSpan w:val="18"/>
            <w:tcBorders>
              <w:top w:val="nil"/>
              <w:left w:val="nil"/>
              <w:bottom w:val="nil"/>
              <w:right w:val="nil"/>
            </w:tcBorders>
            <w:shd w:val="clear" w:color="auto" w:fill="auto"/>
            <w:noWrap/>
            <w:vAlign w:val="bottom"/>
            <w:hideMark/>
          </w:tcPr>
          <w:p w:rsidR="00DB07FD" w:rsidRDefault="00DB07FD" w:rsidP="00DB07FD">
            <w:pPr>
              <w:numPr>
                <w:ilvl w:val="0"/>
                <w:numId w:val="4"/>
              </w:numPr>
              <w:rPr>
                <w:rFonts w:ascii="Calibri" w:hAnsi="Calibri" w:cs="Calibri"/>
                <w:color w:val="000000"/>
                <w:sz w:val="22"/>
                <w:szCs w:val="22"/>
              </w:rPr>
            </w:pPr>
            <w:r>
              <w:rPr>
                <w:rFonts w:ascii="Calibri" w:hAnsi="Calibri" w:cs="Calibri"/>
                <w:color w:val="000000"/>
                <w:sz w:val="22"/>
                <w:szCs w:val="22"/>
              </w:rPr>
              <w:t>Initial submission Customer Queue order was A - B - C</w:t>
            </w: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r>
      <w:tr w:rsidR="00DB07FD" w:rsidTr="009341EA">
        <w:trPr>
          <w:trHeight w:val="300"/>
        </w:trPr>
        <w:tc>
          <w:tcPr>
            <w:tcW w:w="10550" w:type="dxa"/>
            <w:gridSpan w:val="23"/>
            <w:tcBorders>
              <w:top w:val="nil"/>
              <w:left w:val="nil"/>
              <w:bottom w:val="nil"/>
              <w:right w:val="nil"/>
            </w:tcBorders>
            <w:shd w:val="clear" w:color="auto" w:fill="auto"/>
            <w:noWrap/>
            <w:vAlign w:val="bottom"/>
            <w:hideMark/>
          </w:tcPr>
          <w:p w:rsidR="00DB07FD" w:rsidRDefault="00DB07FD" w:rsidP="00DB07FD">
            <w:pPr>
              <w:numPr>
                <w:ilvl w:val="0"/>
                <w:numId w:val="4"/>
              </w:numPr>
              <w:rPr>
                <w:rFonts w:ascii="Calibri" w:hAnsi="Calibri" w:cs="Calibri"/>
                <w:color w:val="000000"/>
                <w:sz w:val="22"/>
                <w:szCs w:val="22"/>
              </w:rPr>
            </w:pPr>
            <w:r>
              <w:rPr>
                <w:rFonts w:ascii="Calibri" w:hAnsi="Calibri" w:cs="Calibri"/>
                <w:color w:val="000000"/>
                <w:sz w:val="22"/>
                <w:szCs w:val="22"/>
              </w:rPr>
              <w:lastRenderedPageBreak/>
              <w:t>Ex:  Lottery process for this window established the order of B - A - C</w:t>
            </w: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r>
      <w:tr w:rsidR="00DB07FD" w:rsidTr="009341EA">
        <w:trPr>
          <w:trHeight w:val="300"/>
        </w:trPr>
        <w:tc>
          <w:tcPr>
            <w:tcW w:w="10270" w:type="dxa"/>
            <w:gridSpan w:val="22"/>
            <w:tcBorders>
              <w:top w:val="nil"/>
              <w:left w:val="nil"/>
              <w:bottom w:val="nil"/>
              <w:right w:val="nil"/>
            </w:tcBorders>
            <w:shd w:val="clear" w:color="auto" w:fill="auto"/>
            <w:noWrap/>
            <w:vAlign w:val="bottom"/>
            <w:hideMark/>
          </w:tcPr>
          <w:p w:rsidR="00DB07FD" w:rsidRDefault="00DB07FD" w:rsidP="00DB07FD">
            <w:pPr>
              <w:numPr>
                <w:ilvl w:val="0"/>
                <w:numId w:val="4"/>
              </w:numPr>
              <w:rPr>
                <w:rFonts w:ascii="Calibri" w:hAnsi="Calibri" w:cs="Calibri"/>
                <w:color w:val="000000"/>
                <w:sz w:val="22"/>
                <w:szCs w:val="22"/>
              </w:rPr>
            </w:pPr>
            <w:r>
              <w:rPr>
                <w:rFonts w:ascii="Calibri" w:hAnsi="Calibri" w:cs="Calibri"/>
                <w:color w:val="000000"/>
                <w:sz w:val="22"/>
                <w:szCs w:val="22"/>
              </w:rPr>
              <w:t>Requests within a bucket will be processed in Lottery order, with</w:t>
            </w: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r>
      <w:tr w:rsidR="00DB07FD" w:rsidTr="009341EA">
        <w:trPr>
          <w:trHeight w:val="300"/>
        </w:trPr>
        <w:tc>
          <w:tcPr>
            <w:tcW w:w="5535" w:type="dxa"/>
            <w:gridSpan w:val="12"/>
            <w:tcBorders>
              <w:top w:val="nil"/>
              <w:left w:val="nil"/>
              <w:bottom w:val="nil"/>
              <w:right w:val="nil"/>
            </w:tcBorders>
            <w:shd w:val="clear" w:color="auto" w:fill="auto"/>
            <w:noWrap/>
            <w:vAlign w:val="bottom"/>
            <w:hideMark/>
          </w:tcPr>
          <w:p w:rsidR="00DB07FD" w:rsidRDefault="00DB07FD" w:rsidP="009341EA">
            <w:pPr>
              <w:ind w:left="360" w:right="-3603"/>
              <w:rPr>
                <w:rFonts w:ascii="Calibri" w:hAnsi="Calibri" w:cs="Calibri"/>
                <w:color w:val="000000"/>
                <w:sz w:val="22"/>
                <w:szCs w:val="22"/>
              </w:rPr>
            </w:pPr>
            <w:r>
              <w:rPr>
                <w:rFonts w:ascii="Calibri" w:hAnsi="Calibri" w:cs="Calibri"/>
                <w:color w:val="000000"/>
                <w:sz w:val="22"/>
                <w:szCs w:val="22"/>
              </w:rPr>
              <w:t xml:space="preserve">        </w:t>
            </w:r>
            <w:proofErr w:type="gramStart"/>
            <w:r>
              <w:rPr>
                <w:rFonts w:ascii="Calibri" w:hAnsi="Calibri" w:cs="Calibri"/>
                <w:color w:val="000000"/>
                <w:sz w:val="22"/>
                <w:szCs w:val="22"/>
              </w:rPr>
              <w:t>one</w:t>
            </w:r>
            <w:proofErr w:type="gramEnd"/>
            <w:r>
              <w:rPr>
                <w:rFonts w:ascii="Calibri" w:hAnsi="Calibri" w:cs="Calibri"/>
                <w:color w:val="000000"/>
                <w:sz w:val="22"/>
                <w:szCs w:val="22"/>
              </w:rPr>
              <w:t xml:space="preserve"> request per customer at a time.</w:t>
            </w: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215"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r>
      <w:tr w:rsidR="00DB07FD" w:rsidTr="009341EA">
        <w:trPr>
          <w:trHeight w:val="300"/>
        </w:trPr>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jc w:val="cente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455"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215"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c>
          <w:tcPr>
            <w:tcW w:w="280" w:type="dxa"/>
            <w:tcBorders>
              <w:top w:val="nil"/>
              <w:left w:val="nil"/>
              <w:bottom w:val="nil"/>
              <w:right w:val="nil"/>
            </w:tcBorders>
            <w:shd w:val="clear" w:color="auto" w:fill="auto"/>
            <w:noWrap/>
            <w:vAlign w:val="bottom"/>
            <w:hideMark/>
          </w:tcPr>
          <w:p w:rsidR="00DB07FD" w:rsidRDefault="00DB07FD" w:rsidP="009341EA">
            <w:pPr>
              <w:rPr>
                <w:rFonts w:ascii="Calibri" w:hAnsi="Calibri" w:cs="Calibri"/>
                <w:color w:val="000000"/>
                <w:sz w:val="22"/>
                <w:szCs w:val="22"/>
              </w:rPr>
            </w:pPr>
          </w:p>
        </w:tc>
      </w:tr>
    </w:tbl>
    <w:p w:rsidR="00DB07FD" w:rsidRDefault="00DB07FD" w:rsidP="00DB07FD">
      <w:pPr>
        <w:jc w:val="center"/>
      </w:pPr>
      <w:r>
        <w:rPr>
          <w:noProof/>
        </w:rPr>
        <w:drawing>
          <wp:inline distT="0" distB="0" distL="0" distR="0">
            <wp:extent cx="5046345" cy="5201920"/>
            <wp:effectExtent l="38100" t="19050" r="20955" b="177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046345" cy="5201920"/>
                    </a:xfrm>
                    <a:prstGeom prst="rect">
                      <a:avLst/>
                    </a:prstGeom>
                    <a:noFill/>
                    <a:ln w="6350" cmpd="sng">
                      <a:solidFill>
                        <a:srgbClr val="000000"/>
                      </a:solidFill>
                      <a:miter lim="800000"/>
                      <a:headEnd/>
                      <a:tailEnd/>
                    </a:ln>
                    <a:effectLst/>
                  </pic:spPr>
                </pic:pic>
              </a:graphicData>
            </a:graphic>
          </wp:inline>
        </w:drawing>
      </w:r>
    </w:p>
    <w:p w:rsidR="00DB07FD" w:rsidRDefault="00DB07FD" w:rsidP="00DB07FD"/>
    <w:p w:rsidR="00DB07FD" w:rsidRDefault="00DB07FD" w:rsidP="00DB07FD"/>
    <w:p w:rsidR="00DB07FD" w:rsidRDefault="00DB07FD" w:rsidP="00DB07FD">
      <w:r>
        <w:t xml:space="preserve">The above defined procedure is applied only to those requests entering the queue during the defined Simultaneous Submission Window.  </w:t>
      </w:r>
    </w:p>
    <w:p w:rsidR="00C61766" w:rsidRDefault="00C61766"/>
    <w:sectPr w:rsidR="00C61766">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B8C" w:rsidRDefault="00FE1B8C" w:rsidP="00DB07FD">
      <w:r>
        <w:separator/>
      </w:r>
    </w:p>
  </w:endnote>
  <w:endnote w:type="continuationSeparator" w:id="0">
    <w:p w:rsidR="00FE1B8C" w:rsidRDefault="00FE1B8C" w:rsidP="00DB07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2EB" w:rsidRDefault="00FE1B8C">
    <w:pPr>
      <w:pStyle w:val="Footer"/>
      <w:jc w:val="right"/>
    </w:pPr>
    <w:r>
      <w:rPr>
        <w:rFonts w:ascii="Arial" w:hAnsi="Arial"/>
        <w:sz w:val="18"/>
      </w:rPr>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DB07FD">
      <w:rPr>
        <w:rFonts w:ascii="Arial" w:hAnsi="Arial"/>
        <w:noProof/>
        <w:sz w:val="18"/>
      </w:rPr>
      <w:t>4</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DB07FD">
      <w:rPr>
        <w:rFonts w:ascii="Arial" w:hAnsi="Arial"/>
        <w:noProof/>
        <w:sz w:val="18"/>
      </w:rPr>
      <w:t>4</w:t>
    </w:r>
    <w:r>
      <w:rPr>
        <w:rFonts w:ascii="Arial" w:hAnsi="Arial"/>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B8C" w:rsidRDefault="00FE1B8C" w:rsidP="00DB07FD">
      <w:r>
        <w:separator/>
      </w:r>
    </w:p>
  </w:footnote>
  <w:footnote w:type="continuationSeparator" w:id="0">
    <w:p w:rsidR="00FE1B8C" w:rsidRDefault="00FE1B8C" w:rsidP="00DB07FD">
      <w:r>
        <w:continuationSeparator/>
      </w:r>
    </w:p>
  </w:footnote>
  <w:footnote w:id="1">
    <w:p w:rsidR="00DB07FD" w:rsidRDefault="00DB07FD" w:rsidP="00DB07FD">
      <w:pPr>
        <w:pStyle w:val="FootnoteText"/>
      </w:pPr>
      <w:r>
        <w:rPr>
          <w:rStyle w:val="FootnoteReference"/>
        </w:rPr>
        <w:footnoteRef/>
      </w:r>
      <w:r>
        <w:t xml:space="preserve"> FERC Order 890  </w:t>
      </w:r>
      <w:hyperlink r:id="rId1" w:history="1">
        <w:r>
          <w:rPr>
            <w:rStyle w:val="Hyperlink"/>
          </w:rPr>
          <w:t>http://www.ferc.gov/whats-new/comm-meet/2007/021507/E-1.pdf</w:t>
        </w:r>
      </w:hyperlink>
    </w:p>
  </w:footnote>
  <w:footnote w:id="2">
    <w:p w:rsidR="00DB07FD" w:rsidRDefault="00DB07FD" w:rsidP="00DB07FD">
      <w:pPr>
        <w:pStyle w:val="FootnoteText"/>
      </w:pPr>
      <w:r>
        <w:rPr>
          <w:rStyle w:val="FootnoteReference"/>
        </w:rPr>
        <w:footnoteRef/>
      </w:r>
      <w:r>
        <w:t xml:space="preserve"> </w:t>
      </w:r>
      <w:r>
        <w:t xml:space="preserve">SPP OATT  </w:t>
      </w:r>
      <w:bookmarkStart w:id="0" w:name="OLE_LINK5"/>
      <w:bookmarkStart w:id="1" w:name="OLE_LINK6"/>
      <w:r>
        <w:rPr>
          <w:color w:val="0000FF"/>
        </w:rPr>
        <w:fldChar w:fldCharType="begin"/>
      </w:r>
      <w:r>
        <w:rPr>
          <w:color w:val="0000FF"/>
        </w:rPr>
        <w:instrText xml:space="preserve"> HYPERLINK "http://www.spp.org/publications/spp_tariff.pdf" </w:instrText>
      </w:r>
      <w:r>
        <w:rPr>
          <w:color w:val="0000FF"/>
        </w:rPr>
        <w:fldChar w:fldCharType="separate"/>
      </w:r>
      <w:r>
        <w:rPr>
          <w:rStyle w:val="Hyperlink"/>
        </w:rPr>
        <w:t>http://www.spp.org/publications/spp_tariff.pdf</w:t>
      </w:r>
      <w:r>
        <w:rPr>
          <w:color w:val="0000FF"/>
        </w:rPr>
        <w:fldChar w:fldCharType="end"/>
      </w:r>
      <w:bookmarkEnd w:id="0"/>
      <w:bookmarkEnd w:id="1"/>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2EB" w:rsidRDefault="00FE1B8C">
    <w:pPr>
      <w:pStyle w:val="Header"/>
      <w:jc w:val="center"/>
      <w:rPr>
        <w:sz w:val="32"/>
      </w:rPr>
    </w:pPr>
    <w:r>
      <w:rPr>
        <w:sz w:val="32"/>
      </w:rPr>
      <w:t>Business Practice Revision</w:t>
    </w:r>
    <w:r w:rsidR="00DB07FD">
      <w:rPr>
        <w:sz w:val="32"/>
        <w:lang w:val="en-US"/>
      </w:rPr>
      <w:t xml:space="preserve"> – Effective 6/22/2015</w:t>
    </w:r>
    <w:r>
      <w:rPr>
        <w:sz w:val="32"/>
      </w:rPr>
      <w:t xml:space="preserve"> </w:t>
    </w:r>
  </w:p>
  <w:p w:rsidR="003E62EB" w:rsidRDefault="00FE1B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D513C"/>
    <w:multiLevelType w:val="hybridMultilevel"/>
    <w:tmpl w:val="672C7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B1414A"/>
    <w:multiLevelType w:val="hybridMultilevel"/>
    <w:tmpl w:val="E44E4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59324D"/>
    <w:multiLevelType w:val="hybridMultilevel"/>
    <w:tmpl w:val="41AA60B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89E1CB5"/>
    <w:multiLevelType w:val="hybridMultilevel"/>
    <w:tmpl w:val="ED98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footnotePr>
    <w:footnote w:id="-1"/>
    <w:footnote w:id="0"/>
  </w:footnotePr>
  <w:endnotePr>
    <w:endnote w:id="-1"/>
    <w:endnote w:id="0"/>
  </w:endnotePr>
  <w:compat/>
  <w:rsids>
    <w:rsidRoot w:val="00DB07FD"/>
    <w:rsid w:val="0011667F"/>
    <w:rsid w:val="00266E4D"/>
    <w:rsid w:val="00394465"/>
    <w:rsid w:val="004F4DBC"/>
    <w:rsid w:val="004F68B6"/>
    <w:rsid w:val="00687C5C"/>
    <w:rsid w:val="009A6296"/>
    <w:rsid w:val="009F77D2"/>
    <w:rsid w:val="00BB6F9E"/>
    <w:rsid w:val="00C61766"/>
    <w:rsid w:val="00DB07FD"/>
    <w:rsid w:val="00DD4AA5"/>
    <w:rsid w:val="00DE1F0E"/>
    <w:rsid w:val="00F56474"/>
    <w:rsid w:val="00FB2C01"/>
    <w:rsid w:val="00FE1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7F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DB07FD"/>
    <w:pPr>
      <w:keepLines/>
      <w:spacing w:before="120" w:after="60"/>
      <w:outlineLvl w:val="1"/>
    </w:pPr>
    <w:rPr>
      <w:rFonts w:ascii="Arial" w:hAnsi="Arial"/>
      <w:bCs/>
      <w:iCs/>
      <w:smallCaps/>
      <w:szCs w:val="28"/>
      <w:lang/>
    </w:rPr>
  </w:style>
  <w:style w:type="paragraph" w:styleId="Heading4">
    <w:name w:val="heading 4"/>
    <w:basedOn w:val="Normal"/>
    <w:next w:val="Normal"/>
    <w:link w:val="Heading4Char"/>
    <w:uiPriority w:val="99"/>
    <w:qFormat/>
    <w:rsid w:val="00DB07FD"/>
    <w:pPr>
      <w:keepNext/>
      <w:keepLines/>
      <w:spacing w:before="240" w:after="60"/>
      <w:jc w:val="both"/>
      <w:outlineLvl w:val="3"/>
    </w:pPr>
    <w:rPr>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B07FD"/>
    <w:rPr>
      <w:rFonts w:ascii="Arial" w:eastAsia="Times New Roman" w:hAnsi="Arial" w:cs="Times New Roman"/>
      <w:bCs/>
      <w:iCs/>
      <w:smallCaps/>
      <w:sz w:val="24"/>
      <w:szCs w:val="28"/>
      <w:lang/>
    </w:rPr>
  </w:style>
  <w:style w:type="character" w:customStyle="1" w:styleId="Heading4Char">
    <w:name w:val="Heading 4 Char"/>
    <w:basedOn w:val="DefaultParagraphFont"/>
    <w:link w:val="Heading4"/>
    <w:uiPriority w:val="99"/>
    <w:rsid w:val="00DB07FD"/>
    <w:rPr>
      <w:rFonts w:ascii="Times New Roman" w:eastAsia="Times New Roman" w:hAnsi="Times New Roman" w:cs="Times New Roman"/>
      <w:b/>
      <w:bCs/>
      <w:sz w:val="28"/>
      <w:szCs w:val="28"/>
      <w:lang/>
    </w:rPr>
  </w:style>
  <w:style w:type="paragraph" w:styleId="Header">
    <w:name w:val="header"/>
    <w:basedOn w:val="Normal"/>
    <w:link w:val="HeaderChar"/>
    <w:rsid w:val="00DB07FD"/>
    <w:pPr>
      <w:tabs>
        <w:tab w:val="center" w:pos="4320"/>
        <w:tab w:val="right" w:pos="8640"/>
      </w:tabs>
    </w:pPr>
    <w:rPr>
      <w:rFonts w:ascii="Arial" w:hAnsi="Arial"/>
      <w:b/>
      <w:bCs/>
      <w:lang/>
    </w:rPr>
  </w:style>
  <w:style w:type="character" w:customStyle="1" w:styleId="HeaderChar">
    <w:name w:val="Header Char"/>
    <w:basedOn w:val="DefaultParagraphFont"/>
    <w:link w:val="Header"/>
    <w:rsid w:val="00DB07FD"/>
    <w:rPr>
      <w:rFonts w:ascii="Arial" w:eastAsia="Times New Roman" w:hAnsi="Arial" w:cs="Times New Roman"/>
      <w:b/>
      <w:bCs/>
      <w:sz w:val="24"/>
      <w:szCs w:val="24"/>
      <w:lang/>
    </w:rPr>
  </w:style>
  <w:style w:type="paragraph" w:styleId="Footer">
    <w:name w:val="footer"/>
    <w:basedOn w:val="Normal"/>
    <w:link w:val="FooterChar"/>
    <w:uiPriority w:val="99"/>
    <w:rsid w:val="00DB07FD"/>
    <w:pPr>
      <w:tabs>
        <w:tab w:val="center" w:pos="4320"/>
        <w:tab w:val="right" w:pos="8640"/>
      </w:tabs>
    </w:pPr>
    <w:rPr>
      <w:lang/>
    </w:rPr>
  </w:style>
  <w:style w:type="character" w:customStyle="1" w:styleId="FooterChar">
    <w:name w:val="Footer Char"/>
    <w:basedOn w:val="DefaultParagraphFont"/>
    <w:link w:val="Footer"/>
    <w:uiPriority w:val="99"/>
    <w:rsid w:val="00DB07FD"/>
    <w:rPr>
      <w:rFonts w:ascii="Times New Roman" w:eastAsia="Times New Roman" w:hAnsi="Times New Roman" w:cs="Times New Roman"/>
      <w:sz w:val="24"/>
      <w:szCs w:val="24"/>
      <w:lang/>
    </w:rPr>
  </w:style>
  <w:style w:type="character" w:styleId="Hyperlink">
    <w:name w:val="Hyperlink"/>
    <w:uiPriority w:val="99"/>
    <w:rsid w:val="00DB07FD"/>
    <w:rPr>
      <w:color w:val="0000FF"/>
      <w:u w:val="single"/>
    </w:rPr>
  </w:style>
  <w:style w:type="character" w:styleId="FootnoteReference">
    <w:name w:val="footnote reference"/>
    <w:uiPriority w:val="99"/>
    <w:rsid w:val="00DB07FD"/>
    <w:rPr>
      <w:color w:val="0000FF"/>
      <w:vertAlign w:val="superscript"/>
    </w:rPr>
  </w:style>
  <w:style w:type="paragraph" w:styleId="FootnoteText">
    <w:name w:val="footnote text"/>
    <w:basedOn w:val="Normal"/>
    <w:link w:val="FootnoteTextChar"/>
    <w:uiPriority w:val="99"/>
    <w:rsid w:val="00DB07FD"/>
    <w:pPr>
      <w:keepLines/>
      <w:jc w:val="both"/>
    </w:pPr>
    <w:rPr>
      <w:rFonts w:ascii="Arial" w:hAnsi="Arial"/>
      <w:sz w:val="20"/>
      <w:szCs w:val="20"/>
      <w:vertAlign w:val="subscript"/>
      <w:lang/>
    </w:rPr>
  </w:style>
  <w:style w:type="character" w:customStyle="1" w:styleId="FootnoteTextChar">
    <w:name w:val="Footnote Text Char"/>
    <w:basedOn w:val="DefaultParagraphFont"/>
    <w:link w:val="FootnoteText"/>
    <w:uiPriority w:val="99"/>
    <w:rsid w:val="00DB07FD"/>
    <w:rPr>
      <w:rFonts w:ascii="Arial" w:eastAsia="Times New Roman" w:hAnsi="Arial" w:cs="Times New Roman"/>
      <w:sz w:val="20"/>
      <w:szCs w:val="20"/>
      <w:vertAlign w:val="subscript"/>
      <w:lang/>
    </w:rPr>
  </w:style>
  <w:style w:type="paragraph" w:styleId="ListParagraph">
    <w:name w:val="List Paragraph"/>
    <w:basedOn w:val="Normal"/>
    <w:uiPriority w:val="99"/>
    <w:qFormat/>
    <w:rsid w:val="00DB07FD"/>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DB07FD"/>
    <w:rPr>
      <w:rFonts w:ascii="Tahoma" w:hAnsi="Tahoma" w:cs="Tahoma"/>
      <w:sz w:val="16"/>
      <w:szCs w:val="16"/>
    </w:rPr>
  </w:style>
  <w:style w:type="character" w:customStyle="1" w:styleId="BalloonTextChar">
    <w:name w:val="Balloon Text Char"/>
    <w:basedOn w:val="DefaultParagraphFont"/>
    <w:link w:val="BalloonText"/>
    <w:uiPriority w:val="99"/>
    <w:semiHidden/>
    <w:rsid w:val="00DB07F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ferc.gov/whats-new/comm-meet/2007/021507/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662</Words>
  <Characters>3777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kjq0907</dc:creator>
  <cp:lastModifiedBy>kjq0907</cp:lastModifiedBy>
  <cp:revision>1</cp:revision>
  <dcterms:created xsi:type="dcterms:W3CDTF">2015-06-12T14:55:00Z</dcterms:created>
  <dcterms:modified xsi:type="dcterms:W3CDTF">2015-06-12T14:56:00Z</dcterms:modified>
</cp:coreProperties>
</file>