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47A" w:rsidRPr="00BE0507" w:rsidRDefault="000C547A" w:rsidP="000C547A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BE0507">
        <w:rPr>
          <w:rFonts w:ascii="Arial" w:hAnsi="Arial" w:cs="Arial"/>
          <w:b/>
          <w:sz w:val="40"/>
          <w:szCs w:val="40"/>
        </w:rPr>
        <w:t>Western Area Power Administration Sierra Nevada Region</w:t>
      </w:r>
    </w:p>
    <w:p w:rsidR="000C547A" w:rsidRPr="00BE0507" w:rsidRDefault="000C547A" w:rsidP="000C547A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0C547A" w:rsidRPr="00BE0507" w:rsidRDefault="000C547A" w:rsidP="000C547A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0C547A" w:rsidRPr="00BE0507" w:rsidRDefault="000C547A" w:rsidP="000C547A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BE0507">
        <w:rPr>
          <w:rFonts w:ascii="Arial" w:hAnsi="Arial" w:cs="Arial"/>
          <w:b/>
          <w:sz w:val="40"/>
          <w:szCs w:val="40"/>
        </w:rPr>
        <w:t>2009</w:t>
      </w:r>
    </w:p>
    <w:p w:rsidR="000C547A" w:rsidRPr="00BE0507" w:rsidRDefault="000C547A" w:rsidP="000C547A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BE0507">
        <w:rPr>
          <w:rFonts w:ascii="Arial" w:hAnsi="Arial" w:cs="Arial"/>
          <w:b/>
          <w:sz w:val="40"/>
          <w:szCs w:val="40"/>
        </w:rPr>
        <w:t xml:space="preserve">Annual Ten-Year Transmission Plan Assessment Report </w:t>
      </w:r>
    </w:p>
    <w:p w:rsidR="000C547A" w:rsidRPr="00BE0507" w:rsidRDefault="000C547A" w:rsidP="000C547A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0C547A" w:rsidRPr="00BE0507" w:rsidRDefault="000C547A" w:rsidP="000C547A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BE0507">
        <w:rPr>
          <w:rFonts w:ascii="Arial" w:hAnsi="Arial" w:cs="Arial"/>
          <w:b/>
          <w:sz w:val="40"/>
          <w:szCs w:val="40"/>
        </w:rPr>
        <w:t xml:space="preserve">Report </w:t>
      </w:r>
      <w:r w:rsidR="00BE0507" w:rsidRPr="00BE0507">
        <w:rPr>
          <w:rFonts w:ascii="Arial" w:hAnsi="Arial" w:cs="Arial"/>
          <w:b/>
          <w:sz w:val="40"/>
          <w:szCs w:val="40"/>
        </w:rPr>
        <w:t>Attachment 3</w:t>
      </w:r>
    </w:p>
    <w:p w:rsidR="000C547A" w:rsidRPr="00BE0507" w:rsidRDefault="00BE0507" w:rsidP="000C547A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BE0507">
        <w:rPr>
          <w:rFonts w:ascii="Arial" w:hAnsi="Arial" w:cs="Arial"/>
          <w:b/>
          <w:sz w:val="40"/>
          <w:szCs w:val="40"/>
        </w:rPr>
        <w:t>NERC Planning Standard TPL-001</w:t>
      </w:r>
    </w:p>
    <w:p w:rsidR="000C547A" w:rsidRPr="00BE0507" w:rsidRDefault="000C547A" w:rsidP="000C547A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0C547A" w:rsidRPr="00BE0507" w:rsidRDefault="000C547A" w:rsidP="000C547A">
      <w:pPr>
        <w:widowControl/>
        <w:jc w:val="center"/>
        <w:rPr>
          <w:rFonts w:ascii="Arial" w:hAnsi="Arial" w:cs="Arial"/>
          <w:b/>
          <w:sz w:val="40"/>
          <w:szCs w:val="40"/>
        </w:rPr>
      </w:pPr>
    </w:p>
    <w:p w:rsidR="000C547A" w:rsidRPr="00BE0507" w:rsidRDefault="000C547A" w:rsidP="000C547A">
      <w:pPr>
        <w:widowControl/>
        <w:jc w:val="center"/>
        <w:rPr>
          <w:rFonts w:ascii="Arial" w:hAnsi="Arial" w:cs="Arial"/>
          <w:b/>
          <w:sz w:val="40"/>
          <w:szCs w:val="40"/>
        </w:rPr>
      </w:pPr>
      <w:r w:rsidRPr="00BE0507">
        <w:rPr>
          <w:rFonts w:ascii="Arial" w:hAnsi="Arial" w:cs="Arial"/>
          <w:b/>
          <w:sz w:val="40"/>
          <w:szCs w:val="40"/>
        </w:rPr>
        <w:t>October 30, 2009</w:t>
      </w:r>
    </w:p>
    <w:p w:rsidR="000C547A" w:rsidRPr="00BE0507" w:rsidRDefault="000C547A" w:rsidP="000C547A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0C547A" w:rsidRPr="00BE0507" w:rsidRDefault="000C547A" w:rsidP="000C547A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0C547A" w:rsidRPr="00BE0507" w:rsidRDefault="000C547A" w:rsidP="000C547A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0C547A" w:rsidRPr="00BE0507" w:rsidRDefault="000C547A" w:rsidP="000C547A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0C547A" w:rsidRPr="00BE0507" w:rsidRDefault="000C547A" w:rsidP="000C547A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0C547A" w:rsidRPr="00BE0507" w:rsidRDefault="000C547A" w:rsidP="000C547A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0C547A" w:rsidRPr="00BE0507" w:rsidRDefault="000C547A" w:rsidP="000C547A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0C547A" w:rsidRPr="00BE0507" w:rsidRDefault="000C547A" w:rsidP="000C547A">
      <w:pPr>
        <w:widowControl/>
        <w:jc w:val="center"/>
        <w:rPr>
          <w:rFonts w:ascii="Arial" w:hAnsi="Arial" w:cs="Arial"/>
          <w:sz w:val="40"/>
          <w:szCs w:val="40"/>
        </w:rPr>
      </w:pPr>
    </w:p>
    <w:p w:rsidR="000C547A" w:rsidRDefault="000C547A" w:rsidP="000C547A">
      <w:pPr>
        <w:widowControl/>
        <w:rPr>
          <w:rFonts w:ascii="Arial" w:hAnsi="Arial" w:cs="Arial"/>
          <w:sz w:val="28"/>
        </w:rPr>
        <w:sectPr w:rsidR="000C547A" w:rsidSect="00CD0D6E">
          <w:footerReference w:type="default" r:id="rId5"/>
          <w:footerReference w:type="first" r:id="rId6"/>
          <w:pgSz w:w="12240" w:h="15840"/>
          <w:pgMar w:top="1440" w:right="1440" w:bottom="864" w:left="1440" w:header="720" w:footer="720" w:gutter="0"/>
          <w:cols w:space="720"/>
        </w:sectPr>
      </w:pPr>
      <w:r>
        <w:rPr>
          <w:rFonts w:ascii="Arial" w:hAnsi="Arial" w:cs="Arial"/>
        </w:rPr>
        <w:t xml:space="preserve">For information or questions regarding this Transmission Assessment Report, please contact Larry Tobias via (916) 353-4766 or email at </w:t>
      </w:r>
      <w:hyperlink r:id="rId7" w:history="1">
        <w:r w:rsidRPr="004270B0">
          <w:rPr>
            <w:rStyle w:val="Hyperlink"/>
            <w:rFonts w:ascii="Arial" w:hAnsi="Arial" w:cs="Arial"/>
          </w:rPr>
          <w:t>Tobias@wapa.com</w:t>
        </w:r>
      </w:hyperlink>
      <w:r>
        <w:rPr>
          <w:rFonts w:ascii="Arial" w:hAnsi="Arial" w:cs="Arial"/>
          <w:sz w:val="28"/>
        </w:rPr>
        <w:t xml:space="preserve"> </w:t>
      </w:r>
    </w:p>
    <w:p w:rsidR="003E66C6" w:rsidRPr="009423BD" w:rsidRDefault="003E66C6" w:rsidP="003E66C6">
      <w:pPr>
        <w:pStyle w:val="Heading2"/>
        <w:jc w:val="center"/>
        <w:rPr>
          <w:rFonts w:ascii="Arial" w:hAnsi="Arial" w:cs="Arial"/>
          <w:sz w:val="28"/>
          <w:szCs w:val="28"/>
        </w:rPr>
      </w:pPr>
      <w:bookmarkStart w:id="0" w:name="_Toc244499021"/>
      <w:r>
        <w:rPr>
          <w:rFonts w:ascii="Arial" w:hAnsi="Arial" w:cs="Arial"/>
          <w:sz w:val="28"/>
          <w:szCs w:val="28"/>
        </w:rPr>
        <w:lastRenderedPageBreak/>
        <w:t>Attachment 3</w:t>
      </w:r>
      <w:r w:rsidRPr="009423BD">
        <w:rPr>
          <w:rFonts w:ascii="Arial" w:hAnsi="Arial" w:cs="Arial"/>
          <w:sz w:val="28"/>
          <w:szCs w:val="28"/>
        </w:rPr>
        <w:t xml:space="preserve">:  </w:t>
      </w:r>
      <w:r>
        <w:rPr>
          <w:rFonts w:ascii="Arial" w:hAnsi="Arial" w:cs="Arial"/>
          <w:sz w:val="28"/>
          <w:szCs w:val="28"/>
        </w:rPr>
        <w:t>Category A (NERC Planning Standard TPL-001): All Facilities in Service, (N-0) Includes Power Flow, Post Transient and Dynamic Stability Plots</w:t>
      </w:r>
      <w:bookmarkEnd w:id="0"/>
    </w:p>
    <w:p w:rsidR="003E66C6" w:rsidRDefault="003E66C6" w:rsidP="003E66C6">
      <w:pPr>
        <w:rPr>
          <w:rFonts w:ascii="Arial" w:hAnsi="Arial" w:cs="Arial"/>
          <w:sz w:val="24"/>
        </w:rPr>
        <w:sectPr w:rsidR="003E66C6" w:rsidSect="00F1517C">
          <w:footerReference w:type="default" r:id="rId8"/>
          <w:pgSz w:w="12240" w:h="15840"/>
          <w:pgMar w:top="432" w:right="432" w:bottom="432" w:left="432" w:header="720" w:footer="720" w:gutter="0"/>
          <w:cols w:space="720"/>
          <w:docGrid w:linePitch="272"/>
        </w:sectPr>
      </w:pPr>
    </w:p>
    <w:p w:rsidR="003E66C6" w:rsidRDefault="003E66C6" w:rsidP="003E66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9467850" cy="5562600"/>
            <wp:effectExtent l="19050" t="0" r="0" b="0"/>
            <wp:docPr id="2" name="Picture 2" descr="2010HS Base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0HS Base Ca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C6" w:rsidRDefault="003E66C6" w:rsidP="003E66C6">
      <w:pPr>
        <w:rPr>
          <w:rFonts w:ascii="Arial" w:hAnsi="Arial" w:cs="Arial"/>
          <w:sz w:val="24"/>
          <w:szCs w:val="24"/>
        </w:rPr>
      </w:pPr>
    </w:p>
    <w:p w:rsidR="003E66C6" w:rsidRDefault="003E66C6" w:rsidP="003E66C6">
      <w:pPr>
        <w:jc w:val="center"/>
        <w:rPr>
          <w:rFonts w:ascii="Arial" w:hAnsi="Arial" w:cs="Arial"/>
          <w:sz w:val="24"/>
          <w:szCs w:val="24"/>
        </w:rPr>
        <w:sectPr w:rsidR="003E66C6" w:rsidSect="00921190">
          <w:pgSz w:w="15840" w:h="12240" w:orient="landscape"/>
          <w:pgMar w:top="432" w:right="432" w:bottom="432" w:left="432" w:header="720" w:footer="720" w:gutter="0"/>
          <w:cols w:space="720"/>
          <w:titlePg/>
          <w:docGrid w:linePitch="272"/>
        </w:sectPr>
      </w:pPr>
      <w:r>
        <w:rPr>
          <w:rFonts w:ascii="Arial" w:hAnsi="Arial" w:cs="Arial"/>
          <w:sz w:val="24"/>
          <w:szCs w:val="24"/>
        </w:rPr>
        <w:t>Figure 3-1   2010 Peak Summer</w:t>
      </w:r>
    </w:p>
    <w:p w:rsidR="003E66C6" w:rsidRDefault="003E66C6" w:rsidP="003E66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9515475" cy="5591175"/>
            <wp:effectExtent l="19050" t="0" r="9525" b="0"/>
            <wp:docPr id="3" name="Picture 3" descr="2011HS Base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HS Base Ca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C6" w:rsidRDefault="003E66C6" w:rsidP="003E66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3-2   2011 Peak Summer</w:t>
      </w:r>
    </w:p>
    <w:p w:rsidR="003E66C6" w:rsidRDefault="003E66C6" w:rsidP="003E66C6">
      <w:pPr>
        <w:rPr>
          <w:rFonts w:ascii="Arial" w:hAnsi="Arial" w:cs="Arial"/>
          <w:sz w:val="24"/>
          <w:szCs w:val="24"/>
        </w:rPr>
        <w:sectPr w:rsidR="003E66C6" w:rsidSect="00921190">
          <w:pgSz w:w="15840" w:h="12240" w:orient="landscape"/>
          <w:pgMar w:top="432" w:right="432" w:bottom="432" w:left="432" w:header="720" w:footer="720" w:gutter="0"/>
          <w:cols w:space="720"/>
          <w:titlePg/>
          <w:docGrid w:linePitch="272"/>
        </w:sectPr>
      </w:pPr>
    </w:p>
    <w:p w:rsidR="003E66C6" w:rsidRDefault="003E66C6" w:rsidP="003E66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9477375" cy="5705475"/>
            <wp:effectExtent l="19050" t="0" r="9525" b="0"/>
            <wp:docPr id="4" name="Picture 4" descr="2012HS Base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2HS Base Ca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C6" w:rsidRDefault="003E66C6" w:rsidP="003E66C6">
      <w:pPr>
        <w:rPr>
          <w:rFonts w:ascii="Arial" w:hAnsi="Arial" w:cs="Arial"/>
          <w:sz w:val="24"/>
          <w:szCs w:val="24"/>
        </w:rPr>
      </w:pPr>
    </w:p>
    <w:p w:rsidR="003E66C6" w:rsidRDefault="003E66C6" w:rsidP="003E66C6">
      <w:pPr>
        <w:jc w:val="center"/>
        <w:rPr>
          <w:rFonts w:ascii="Arial" w:hAnsi="Arial" w:cs="Arial"/>
          <w:sz w:val="24"/>
          <w:szCs w:val="24"/>
        </w:rPr>
        <w:sectPr w:rsidR="003E66C6" w:rsidSect="00921190">
          <w:pgSz w:w="15840" w:h="12240" w:orient="landscape"/>
          <w:pgMar w:top="432" w:right="432" w:bottom="432" w:left="432" w:header="720" w:footer="720" w:gutter="0"/>
          <w:cols w:space="720"/>
          <w:titlePg/>
          <w:docGrid w:linePitch="272"/>
        </w:sectPr>
      </w:pPr>
      <w:r>
        <w:rPr>
          <w:rFonts w:ascii="Arial" w:hAnsi="Arial" w:cs="Arial"/>
          <w:sz w:val="24"/>
          <w:szCs w:val="24"/>
        </w:rPr>
        <w:t>Figure 3-3   2012 Peak Summer</w:t>
      </w:r>
    </w:p>
    <w:p w:rsidR="003E66C6" w:rsidRDefault="003E66C6" w:rsidP="003E66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9467850" cy="5581650"/>
            <wp:effectExtent l="19050" t="0" r="0" b="0"/>
            <wp:docPr id="5" name="Picture 5" descr="2013HS Base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3HS Base Ca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C6" w:rsidRDefault="003E66C6" w:rsidP="003E66C6">
      <w:pPr>
        <w:rPr>
          <w:rFonts w:ascii="Arial" w:hAnsi="Arial" w:cs="Arial"/>
          <w:sz w:val="24"/>
          <w:szCs w:val="24"/>
        </w:rPr>
      </w:pPr>
    </w:p>
    <w:p w:rsidR="003E66C6" w:rsidRDefault="003E66C6" w:rsidP="003E66C6">
      <w:pPr>
        <w:jc w:val="center"/>
        <w:rPr>
          <w:rFonts w:ascii="Arial" w:hAnsi="Arial" w:cs="Arial"/>
          <w:sz w:val="24"/>
          <w:szCs w:val="24"/>
        </w:rPr>
        <w:sectPr w:rsidR="003E66C6" w:rsidSect="00921190">
          <w:pgSz w:w="15840" w:h="12240" w:orient="landscape"/>
          <w:pgMar w:top="432" w:right="432" w:bottom="432" w:left="432" w:header="720" w:footer="720" w:gutter="0"/>
          <w:cols w:space="720"/>
          <w:titlePg/>
          <w:docGrid w:linePitch="272"/>
        </w:sectPr>
      </w:pPr>
      <w:r>
        <w:rPr>
          <w:rFonts w:ascii="Arial" w:hAnsi="Arial" w:cs="Arial"/>
          <w:sz w:val="24"/>
          <w:szCs w:val="24"/>
        </w:rPr>
        <w:t>Figure 3-4   2013 Peak Summer</w:t>
      </w:r>
    </w:p>
    <w:p w:rsidR="003E66C6" w:rsidRDefault="003E66C6" w:rsidP="003E66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9458325" cy="5695950"/>
            <wp:effectExtent l="19050" t="0" r="9525" b="0"/>
            <wp:docPr id="6" name="Picture 6" descr="2014HS Base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4HS Base Ca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C6" w:rsidRDefault="003E66C6" w:rsidP="003E66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3-5   2014 Peak Summer</w:t>
      </w:r>
    </w:p>
    <w:p w:rsidR="003E66C6" w:rsidRDefault="003E66C6" w:rsidP="003E66C6">
      <w:pPr>
        <w:rPr>
          <w:rFonts w:ascii="Arial" w:hAnsi="Arial" w:cs="Arial"/>
          <w:sz w:val="24"/>
          <w:szCs w:val="24"/>
        </w:rPr>
        <w:sectPr w:rsidR="003E66C6" w:rsidSect="00921190">
          <w:pgSz w:w="15840" w:h="12240" w:orient="landscape"/>
          <w:pgMar w:top="432" w:right="432" w:bottom="432" w:left="432" w:header="720" w:footer="720" w:gutter="0"/>
          <w:cols w:space="720"/>
          <w:titlePg/>
          <w:docGrid w:linePitch="272"/>
        </w:sectPr>
      </w:pPr>
    </w:p>
    <w:p w:rsidR="003E66C6" w:rsidRDefault="003E66C6" w:rsidP="003E66C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867650" cy="5981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C6" w:rsidRDefault="003E66C6" w:rsidP="003E66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3-</w:t>
      </w:r>
      <w:proofErr w:type="gramStart"/>
      <w:r>
        <w:rPr>
          <w:rFonts w:ascii="Arial" w:hAnsi="Arial" w:cs="Arial"/>
          <w:sz w:val="24"/>
          <w:szCs w:val="24"/>
        </w:rPr>
        <w:t>6  2014</w:t>
      </w:r>
      <w:proofErr w:type="gramEnd"/>
      <w:r>
        <w:rPr>
          <w:rFonts w:ascii="Arial" w:hAnsi="Arial" w:cs="Arial"/>
          <w:sz w:val="24"/>
          <w:szCs w:val="24"/>
        </w:rPr>
        <w:t xml:space="preserve"> Off-Peak Summer</w:t>
      </w:r>
    </w:p>
    <w:p w:rsidR="003E66C6" w:rsidRDefault="003E66C6" w:rsidP="003E66C6">
      <w:pPr>
        <w:rPr>
          <w:rFonts w:ascii="Arial" w:hAnsi="Arial" w:cs="Arial"/>
          <w:sz w:val="24"/>
          <w:szCs w:val="24"/>
        </w:rPr>
        <w:sectPr w:rsidR="003E66C6" w:rsidSect="00921190">
          <w:pgSz w:w="15840" w:h="12240" w:orient="landscape"/>
          <w:pgMar w:top="432" w:right="432" w:bottom="432" w:left="432" w:header="720" w:footer="720" w:gutter="0"/>
          <w:cols w:space="720"/>
          <w:titlePg/>
          <w:docGrid w:linePitch="272"/>
        </w:sectPr>
      </w:pPr>
    </w:p>
    <w:p w:rsidR="003E66C6" w:rsidRDefault="003E66C6" w:rsidP="003E66C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867650" cy="59912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C6" w:rsidRDefault="003E66C6" w:rsidP="003E66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3-7 2014-15 Peak Winter</w:t>
      </w:r>
    </w:p>
    <w:p w:rsidR="003E66C6" w:rsidRDefault="003E66C6" w:rsidP="003E66C6">
      <w:pPr>
        <w:rPr>
          <w:rFonts w:ascii="Arial" w:hAnsi="Arial" w:cs="Arial"/>
          <w:sz w:val="24"/>
          <w:szCs w:val="24"/>
        </w:rPr>
        <w:sectPr w:rsidR="003E66C6" w:rsidSect="00921190">
          <w:pgSz w:w="15840" w:h="12240" w:orient="landscape"/>
          <w:pgMar w:top="432" w:right="432" w:bottom="432" w:left="432" w:header="720" w:footer="720" w:gutter="0"/>
          <w:cols w:space="720"/>
          <w:titlePg/>
          <w:docGrid w:linePitch="272"/>
        </w:sectPr>
      </w:pPr>
    </w:p>
    <w:p w:rsidR="003E66C6" w:rsidRDefault="003E66C6" w:rsidP="003E66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9525000" cy="5610225"/>
            <wp:effectExtent l="19050" t="0" r="0" b="0"/>
            <wp:docPr id="9" name="Picture 9" descr="2019HS Base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9HS Base Ca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C6" w:rsidRDefault="003E66C6" w:rsidP="003E66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3-8   2019 Peak Summer</w:t>
      </w:r>
    </w:p>
    <w:p w:rsidR="003E66C6" w:rsidRDefault="003E66C6" w:rsidP="003E66C6">
      <w:pPr>
        <w:rPr>
          <w:rFonts w:ascii="Arial" w:hAnsi="Arial" w:cs="Arial"/>
          <w:sz w:val="24"/>
        </w:rPr>
        <w:sectPr w:rsidR="003E66C6" w:rsidSect="003B638C">
          <w:pgSz w:w="15840" w:h="12240" w:orient="landscape"/>
          <w:pgMar w:top="432" w:right="432" w:bottom="432" w:left="432" w:header="720" w:footer="720" w:gutter="0"/>
          <w:cols w:space="720"/>
          <w:docGrid w:linePitch="272"/>
        </w:sectPr>
      </w:pPr>
    </w:p>
    <w:p w:rsidR="003E66C6" w:rsidRDefault="003E66C6" w:rsidP="003E66C6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>
            <wp:extent cx="9096963" cy="6037155"/>
            <wp:effectExtent l="18658" t="8415" r="9329" b="2805"/>
            <wp:docPr id="57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E66C6" w:rsidRDefault="003E66C6" w:rsidP="003E66C6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Figure 3-9 </w:t>
      </w:r>
      <w:proofErr w:type="spellStart"/>
      <w:r>
        <w:rPr>
          <w:rFonts w:ascii="Arial" w:hAnsi="Arial" w:cs="Arial"/>
          <w:sz w:val="24"/>
        </w:rPr>
        <w:t>ElvertaW</w:t>
      </w:r>
      <w:proofErr w:type="spellEnd"/>
      <w:r>
        <w:rPr>
          <w:rFonts w:ascii="Arial" w:hAnsi="Arial" w:cs="Arial"/>
          <w:sz w:val="24"/>
        </w:rPr>
        <w:t xml:space="preserve"> Voltage</w:t>
      </w:r>
    </w:p>
    <w:p w:rsidR="003E66C6" w:rsidRDefault="003E66C6" w:rsidP="003E66C6">
      <w:pPr>
        <w:rPr>
          <w:rFonts w:ascii="Arial" w:hAnsi="Arial" w:cs="Arial"/>
          <w:sz w:val="24"/>
        </w:rPr>
        <w:sectPr w:rsidR="003E66C6" w:rsidSect="003B638C">
          <w:pgSz w:w="15840" w:h="12240" w:orient="landscape"/>
          <w:pgMar w:top="432" w:right="432" w:bottom="432" w:left="432" w:header="720" w:footer="720" w:gutter="0"/>
          <w:cols w:space="720"/>
          <w:docGrid w:linePitch="272"/>
        </w:sectPr>
      </w:pPr>
    </w:p>
    <w:p w:rsidR="003E66C6" w:rsidRDefault="003E66C6" w:rsidP="003E66C6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>
            <wp:extent cx="9410324" cy="6000319"/>
            <wp:effectExtent l="19301" t="7834" r="9650" b="2122"/>
            <wp:docPr id="10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E66C6" w:rsidRDefault="003E66C6" w:rsidP="003E66C6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Figure 3-10 </w:t>
      </w:r>
      <w:proofErr w:type="spellStart"/>
      <w:r>
        <w:rPr>
          <w:rFonts w:ascii="Arial" w:hAnsi="Arial" w:cs="Arial"/>
          <w:sz w:val="24"/>
        </w:rPr>
        <w:t>ElvertaW</w:t>
      </w:r>
      <w:proofErr w:type="spellEnd"/>
      <w:r>
        <w:rPr>
          <w:rFonts w:ascii="Arial" w:hAnsi="Arial" w:cs="Arial"/>
          <w:sz w:val="24"/>
        </w:rPr>
        <w:t xml:space="preserve"> Voltage</w:t>
      </w:r>
    </w:p>
    <w:p w:rsidR="003E66C6" w:rsidRDefault="003E66C6" w:rsidP="003E66C6">
      <w:pPr>
        <w:rPr>
          <w:rFonts w:ascii="Arial" w:hAnsi="Arial" w:cs="Arial"/>
          <w:sz w:val="24"/>
        </w:rPr>
        <w:sectPr w:rsidR="003E66C6" w:rsidSect="003B638C">
          <w:pgSz w:w="15840" w:h="12240" w:orient="landscape"/>
          <w:pgMar w:top="432" w:right="432" w:bottom="432" w:left="432" w:header="720" w:footer="720" w:gutter="0"/>
          <w:cols w:space="720"/>
          <w:docGrid w:linePitch="272"/>
        </w:sectPr>
      </w:pPr>
    </w:p>
    <w:p w:rsidR="003E66C6" w:rsidRDefault="003E66C6" w:rsidP="003E66C6">
      <w:pPr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>
            <wp:extent cx="8143875" cy="622935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C6" w:rsidRDefault="003E66C6" w:rsidP="003E66C6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Figure 3-11</w:t>
      </w:r>
    </w:p>
    <w:p w:rsidR="003E66C6" w:rsidRDefault="003E66C6" w:rsidP="003E66C6">
      <w:pPr>
        <w:rPr>
          <w:rFonts w:ascii="Arial" w:hAnsi="Arial" w:cs="Arial"/>
          <w:sz w:val="24"/>
        </w:rPr>
        <w:sectPr w:rsidR="003E66C6" w:rsidSect="003B638C">
          <w:pgSz w:w="15840" w:h="12240" w:orient="landscape"/>
          <w:pgMar w:top="432" w:right="432" w:bottom="432" w:left="432" w:header="720" w:footer="720" w:gutter="0"/>
          <w:cols w:space="720"/>
          <w:docGrid w:linePitch="272"/>
        </w:sectPr>
      </w:pPr>
    </w:p>
    <w:p w:rsidR="003E66C6" w:rsidRDefault="003E66C6" w:rsidP="003E66C6">
      <w:r>
        <w:rPr>
          <w:noProof/>
        </w:rPr>
        <w:lastRenderedPageBreak/>
        <w:drawing>
          <wp:inline distT="0" distB="0" distL="0" distR="0">
            <wp:extent cx="8153400" cy="623887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C6" w:rsidRPr="002A11E0" w:rsidRDefault="003E66C6" w:rsidP="003E66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3-12</w:t>
      </w:r>
    </w:p>
    <w:p w:rsidR="003E66C6" w:rsidRDefault="003E66C6" w:rsidP="003E66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077200" cy="61912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6C6" w:rsidRPr="002A11E0" w:rsidRDefault="003E66C6" w:rsidP="003E66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3-13</w:t>
      </w:r>
    </w:p>
    <w:p w:rsidR="003E66C6" w:rsidRDefault="003E66C6" w:rsidP="003E66C6">
      <w:r>
        <w:rPr>
          <w:noProof/>
        </w:rPr>
        <w:lastRenderedPageBreak/>
        <w:drawing>
          <wp:inline distT="0" distB="0" distL="0" distR="0">
            <wp:extent cx="8067675" cy="618172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11D" w:rsidRDefault="003E66C6" w:rsidP="001A0811">
      <w:pPr>
        <w:jc w:val="center"/>
      </w:pPr>
      <w:r w:rsidRPr="002A11E0">
        <w:rPr>
          <w:rFonts w:ascii="Arial" w:hAnsi="Arial" w:cs="Arial"/>
          <w:sz w:val="24"/>
          <w:szCs w:val="24"/>
        </w:rPr>
        <w:t>Figure 3-1</w:t>
      </w:r>
      <w:r>
        <w:rPr>
          <w:rFonts w:ascii="Arial" w:hAnsi="Arial" w:cs="Arial"/>
          <w:sz w:val="24"/>
          <w:szCs w:val="24"/>
        </w:rPr>
        <w:t>4</w:t>
      </w:r>
    </w:p>
    <w:sectPr w:rsidR="00AB211D" w:rsidSect="001A0811">
      <w:pgSz w:w="15840" w:h="12240" w:orient="landscape"/>
      <w:pgMar w:top="432" w:right="432" w:bottom="432" w:left="432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EDB" w:rsidRDefault="001A0811">
    <w:pPr>
      <w:pStyle w:val="Footer"/>
      <w:framePr w:w="511" w:wrap="auto" w:vAnchor="text" w:hAnchor="margin" w:xAlign="center" w:yAlign="top"/>
      <w:rPr>
        <w:rStyle w:val="PageNumber"/>
        <w:rFonts w:ascii="Arial" w:hAnsi="Arial" w:cs="Arial"/>
      </w:rPr>
    </w:pPr>
    <w:r>
      <w:rPr>
        <w:rStyle w:val="PageNumber"/>
        <w:rFonts w:ascii="Arial" w:hAnsi="Arial" w:cs="Arial"/>
      </w:rPr>
      <w:t>A-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PAGE  </w:instrText>
    </w:r>
    <w:r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  <w:noProof/>
      </w:rPr>
      <w:t>1</w:t>
    </w:r>
    <w:r>
      <w:rPr>
        <w:rStyle w:val="PageNumber"/>
        <w:rFonts w:ascii="Arial" w:hAnsi="Arial" w:cs="Arial"/>
      </w:rPr>
      <w:fldChar w:fldCharType="end"/>
    </w:r>
  </w:p>
  <w:p w:rsidR="009D2EDB" w:rsidRDefault="001A0811">
    <w:pPr>
      <w:pStyle w:val="Footer"/>
      <w:widowControl/>
      <w:rPr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EDB" w:rsidRDefault="001A081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</w:t>
    </w:r>
    <w:r>
      <w:fldChar w:fldCharType="end"/>
    </w:r>
  </w:p>
  <w:p w:rsidR="009D2EDB" w:rsidRDefault="001A081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6C6" w:rsidRDefault="003E66C6">
    <w:pPr>
      <w:pStyle w:val="Footer"/>
      <w:framePr w:w="511" w:wrap="auto" w:vAnchor="text" w:hAnchor="margin" w:xAlign="center" w:yAlign="top"/>
      <w:rPr>
        <w:rStyle w:val="PageNumber"/>
        <w:rFonts w:ascii="Arial" w:hAnsi="Arial" w:cs="Arial"/>
      </w:rPr>
    </w:pP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PAGE  </w:instrText>
    </w:r>
    <w:r>
      <w:rPr>
        <w:rStyle w:val="PageNumber"/>
        <w:rFonts w:ascii="Arial" w:hAnsi="Arial" w:cs="Arial"/>
      </w:rPr>
      <w:fldChar w:fldCharType="separate"/>
    </w:r>
    <w:r w:rsidR="001A0811">
      <w:rPr>
        <w:rStyle w:val="PageNumber"/>
        <w:rFonts w:ascii="Arial" w:hAnsi="Arial" w:cs="Arial"/>
        <w:noProof/>
      </w:rPr>
      <w:t>2</w:t>
    </w:r>
    <w:r>
      <w:rPr>
        <w:rStyle w:val="PageNumber"/>
        <w:rFonts w:ascii="Arial" w:hAnsi="Arial" w:cs="Arial"/>
      </w:rPr>
      <w:fldChar w:fldCharType="end"/>
    </w:r>
  </w:p>
  <w:p w:rsidR="003E66C6" w:rsidRDefault="003E66C6">
    <w:pPr>
      <w:pStyle w:val="Footer"/>
      <w:widowControl/>
      <w:rPr>
        <w:sz w:val="16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E1076"/>
    <w:multiLevelType w:val="hybridMultilevel"/>
    <w:tmpl w:val="48DEE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75BF3"/>
    <w:multiLevelType w:val="hybridMultilevel"/>
    <w:tmpl w:val="9C4CA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FF5222"/>
    <w:multiLevelType w:val="hybridMultilevel"/>
    <w:tmpl w:val="59302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0C547A"/>
    <w:rsid w:val="000C547A"/>
    <w:rsid w:val="001A0811"/>
    <w:rsid w:val="003E66C6"/>
    <w:rsid w:val="00546880"/>
    <w:rsid w:val="0071239A"/>
    <w:rsid w:val="00AB211D"/>
    <w:rsid w:val="00BE0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47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3E66C6"/>
    <w:pPr>
      <w:keepNext/>
      <w:spacing w:before="240" w:after="60"/>
      <w:outlineLvl w:val="1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C5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47A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semiHidden/>
    <w:rsid w:val="000C547A"/>
    <w:rPr>
      <w:sz w:val="20"/>
    </w:rPr>
  </w:style>
  <w:style w:type="character" w:styleId="Hyperlink">
    <w:name w:val="Hyperlink"/>
    <w:basedOn w:val="DefaultParagraphFont"/>
    <w:semiHidden/>
    <w:rsid w:val="000C547A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3E66C6"/>
    <w:rPr>
      <w:rFonts w:ascii="Times New Roman" w:eastAsia="Times New Roman" w:hAnsi="Times New Roman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6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6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5.png"/><Relationship Id="rId18" Type="http://schemas.openxmlformats.org/officeDocument/2006/relationships/chart" Target="charts/chart2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mailto:Tobias@wapa.com" TargetMode="External"/><Relationship Id="rId12" Type="http://schemas.openxmlformats.org/officeDocument/2006/relationships/image" Target="media/image4.png"/><Relationship Id="rId1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er" Target="footer2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er" Target="footer1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2009%2010%20year%20WAPA%20Plan\Study\2014\2014%20Post-Transient\2014_pgehs_nv25_No-fault-cgcc.nose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2009%2010%20year%20WAPA%20Plan\Study\2019\2019%20Post-Transient\2019-northvalley25_No-fault-cgcc.nose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en-US"/>
              <a:t>2014</a:t>
            </a:r>
            <a:r>
              <a:rPr lang="en-US" baseline="0"/>
              <a:t> Peak Summer - Normal System</a:t>
            </a:r>
            <a:endParaRPr lang="en-US"/>
          </a:p>
        </c:rich>
      </c:tx>
    </c:title>
    <c:plotArea>
      <c:layout/>
      <c:scatterChart>
        <c:scatterStyle val="smoothMarker"/>
        <c:ser>
          <c:idx val="0"/>
          <c:order val="0"/>
          <c:tx>
            <c:strRef>
              <c:f>'2014_pgehs_nv25_No-fault-cgcc'!$C$153</c:f>
              <c:strCache>
                <c:ptCount val="1"/>
                <c:pt idx="0">
                  <c:v>Voltage</c:v>
                </c:pt>
              </c:strCache>
            </c:strRef>
          </c:tx>
          <c:xVal>
            <c:numRef>
              <c:f>'2014_pgehs_nv25_No-fault-cgcc'!$B$154:$B$236</c:f>
              <c:numCache>
                <c:formatCode>General</c:formatCode>
                <c:ptCount val="83"/>
                <c:pt idx="0">
                  <c:v>-44.6</c:v>
                </c:pt>
                <c:pt idx="1">
                  <c:v>-90.4</c:v>
                </c:pt>
                <c:pt idx="2">
                  <c:v>-135.4</c:v>
                </c:pt>
                <c:pt idx="3">
                  <c:v>-153.30000000000001</c:v>
                </c:pt>
                <c:pt idx="4">
                  <c:v>-171</c:v>
                </c:pt>
                <c:pt idx="5">
                  <c:v>-188.7</c:v>
                </c:pt>
                <c:pt idx="6">
                  <c:v>-206.3</c:v>
                </c:pt>
                <c:pt idx="7">
                  <c:v>-223.8</c:v>
                </c:pt>
                <c:pt idx="8">
                  <c:v>-241.1</c:v>
                </c:pt>
                <c:pt idx="9">
                  <c:v>-258.5</c:v>
                </c:pt>
                <c:pt idx="10">
                  <c:v>-275.7</c:v>
                </c:pt>
                <c:pt idx="11">
                  <c:v>-292.8</c:v>
                </c:pt>
                <c:pt idx="12">
                  <c:v>-309.8</c:v>
                </c:pt>
                <c:pt idx="13">
                  <c:v>-326.5</c:v>
                </c:pt>
                <c:pt idx="14">
                  <c:v>-342.9</c:v>
                </c:pt>
                <c:pt idx="15">
                  <c:v>-359</c:v>
                </c:pt>
                <c:pt idx="16">
                  <c:v>-375</c:v>
                </c:pt>
                <c:pt idx="17">
                  <c:v>-390.9</c:v>
                </c:pt>
                <c:pt idx="18">
                  <c:v>-406.7</c:v>
                </c:pt>
                <c:pt idx="19">
                  <c:v>-422.1</c:v>
                </c:pt>
                <c:pt idx="20">
                  <c:v>-437.5</c:v>
                </c:pt>
                <c:pt idx="21">
                  <c:v>-452.4</c:v>
                </c:pt>
                <c:pt idx="22">
                  <c:v>-465.9</c:v>
                </c:pt>
                <c:pt idx="23">
                  <c:v>-479.2</c:v>
                </c:pt>
                <c:pt idx="24">
                  <c:v>-492.4</c:v>
                </c:pt>
                <c:pt idx="25">
                  <c:v>-505.5</c:v>
                </c:pt>
                <c:pt idx="26">
                  <c:v>-518.5</c:v>
                </c:pt>
                <c:pt idx="27">
                  <c:v>-531.5</c:v>
                </c:pt>
                <c:pt idx="28">
                  <c:v>-544.4</c:v>
                </c:pt>
                <c:pt idx="29">
                  <c:v>-557.20000000000005</c:v>
                </c:pt>
                <c:pt idx="30">
                  <c:v>-569.79999999999995</c:v>
                </c:pt>
                <c:pt idx="31">
                  <c:v>-582.4</c:v>
                </c:pt>
                <c:pt idx="32">
                  <c:v>-594.9</c:v>
                </c:pt>
                <c:pt idx="33">
                  <c:v>-607.29999999999995</c:v>
                </c:pt>
                <c:pt idx="34">
                  <c:v>-619.70000000000005</c:v>
                </c:pt>
                <c:pt idx="35">
                  <c:v>-628.70000000000005</c:v>
                </c:pt>
                <c:pt idx="36">
                  <c:v>-635.9</c:v>
                </c:pt>
                <c:pt idx="37">
                  <c:v>-642.70000000000005</c:v>
                </c:pt>
                <c:pt idx="38">
                  <c:v>-649.29999999999995</c:v>
                </c:pt>
                <c:pt idx="39">
                  <c:v>-655.9</c:v>
                </c:pt>
                <c:pt idx="40">
                  <c:v>-662.5</c:v>
                </c:pt>
                <c:pt idx="41">
                  <c:v>-668.9</c:v>
                </c:pt>
                <c:pt idx="42">
                  <c:v>-675.3</c:v>
                </c:pt>
                <c:pt idx="43">
                  <c:v>-681.6</c:v>
                </c:pt>
                <c:pt idx="44">
                  <c:v>-687.4</c:v>
                </c:pt>
                <c:pt idx="45">
                  <c:v>-692.5</c:v>
                </c:pt>
                <c:pt idx="46">
                  <c:v>-697.4</c:v>
                </c:pt>
                <c:pt idx="47">
                  <c:v>-702.2</c:v>
                </c:pt>
                <c:pt idx="48">
                  <c:v>-706.7</c:v>
                </c:pt>
                <c:pt idx="49">
                  <c:v>-710.8</c:v>
                </c:pt>
                <c:pt idx="50">
                  <c:v>-714.7</c:v>
                </c:pt>
                <c:pt idx="51">
                  <c:v>-718.7</c:v>
                </c:pt>
                <c:pt idx="52">
                  <c:v>-722.5</c:v>
                </c:pt>
                <c:pt idx="53">
                  <c:v>-726.3</c:v>
                </c:pt>
                <c:pt idx="54">
                  <c:v>-730</c:v>
                </c:pt>
                <c:pt idx="55">
                  <c:v>-732.7</c:v>
                </c:pt>
                <c:pt idx="56">
                  <c:v>-734.8</c:v>
                </c:pt>
                <c:pt idx="57">
                  <c:v>-736.9</c:v>
                </c:pt>
                <c:pt idx="58">
                  <c:v>-738.9</c:v>
                </c:pt>
                <c:pt idx="59">
                  <c:v>-740.8</c:v>
                </c:pt>
                <c:pt idx="60">
                  <c:v>-742.6</c:v>
                </c:pt>
                <c:pt idx="61">
                  <c:v>-744.3</c:v>
                </c:pt>
                <c:pt idx="62">
                  <c:v>-745.9</c:v>
                </c:pt>
                <c:pt idx="63">
                  <c:v>-747.4</c:v>
                </c:pt>
                <c:pt idx="64">
                  <c:v>-748.7</c:v>
                </c:pt>
                <c:pt idx="65">
                  <c:v>-750</c:v>
                </c:pt>
                <c:pt idx="66">
                  <c:v>-751.2</c:v>
                </c:pt>
                <c:pt idx="67">
                  <c:v>-752.3</c:v>
                </c:pt>
                <c:pt idx="68">
                  <c:v>-753.1</c:v>
                </c:pt>
                <c:pt idx="69">
                  <c:v>-753.7</c:v>
                </c:pt>
                <c:pt idx="70">
                  <c:v>-754.3</c:v>
                </c:pt>
                <c:pt idx="71">
                  <c:v>-754.8</c:v>
                </c:pt>
                <c:pt idx="72">
                  <c:v>-755.3</c:v>
                </c:pt>
                <c:pt idx="73">
                  <c:v>-755.6</c:v>
                </c:pt>
                <c:pt idx="74">
                  <c:v>-755.8</c:v>
                </c:pt>
                <c:pt idx="75">
                  <c:v>-755.8</c:v>
                </c:pt>
                <c:pt idx="76">
                  <c:v>-755.9</c:v>
                </c:pt>
                <c:pt idx="77">
                  <c:v>-755.8</c:v>
                </c:pt>
                <c:pt idx="78">
                  <c:v>-755.7</c:v>
                </c:pt>
                <c:pt idx="79">
                  <c:v>-755.5</c:v>
                </c:pt>
                <c:pt idx="80">
                  <c:v>-755.3</c:v>
                </c:pt>
                <c:pt idx="81">
                  <c:v>-755</c:v>
                </c:pt>
                <c:pt idx="82">
                  <c:v>-754.6</c:v>
                </c:pt>
              </c:numCache>
            </c:numRef>
          </c:xVal>
          <c:yVal>
            <c:numRef>
              <c:f>'2014_pgehs_nv25_No-fault-cgcc'!$C$154:$C$236</c:f>
              <c:numCache>
                <c:formatCode>General</c:formatCode>
                <c:ptCount val="83"/>
                <c:pt idx="0">
                  <c:v>0.98</c:v>
                </c:pt>
                <c:pt idx="1">
                  <c:v>0.9750000000000002</c:v>
                </c:pt>
                <c:pt idx="2">
                  <c:v>0.9700000000000002</c:v>
                </c:pt>
                <c:pt idx="3">
                  <c:v>0.96800000000000019</c:v>
                </c:pt>
                <c:pt idx="4">
                  <c:v>0.96600000000000019</c:v>
                </c:pt>
                <c:pt idx="5">
                  <c:v>0.96400000000000019</c:v>
                </c:pt>
                <c:pt idx="6">
                  <c:v>0.96200000000000019</c:v>
                </c:pt>
                <c:pt idx="7">
                  <c:v>0.96000000000000019</c:v>
                </c:pt>
                <c:pt idx="8">
                  <c:v>0.95800000000000018</c:v>
                </c:pt>
                <c:pt idx="9">
                  <c:v>0.95600000000000018</c:v>
                </c:pt>
                <c:pt idx="10">
                  <c:v>0.95400000000000018</c:v>
                </c:pt>
                <c:pt idx="11">
                  <c:v>0.95200000000000018</c:v>
                </c:pt>
                <c:pt idx="12">
                  <c:v>0.95000000000000018</c:v>
                </c:pt>
                <c:pt idx="13">
                  <c:v>0.94799999999999995</c:v>
                </c:pt>
                <c:pt idx="14">
                  <c:v>0.94599999999999995</c:v>
                </c:pt>
                <c:pt idx="15">
                  <c:v>0.94399999999999995</c:v>
                </c:pt>
                <c:pt idx="16">
                  <c:v>0.94199999999999995</c:v>
                </c:pt>
                <c:pt idx="17">
                  <c:v>0.94000000000000017</c:v>
                </c:pt>
                <c:pt idx="18">
                  <c:v>0.93799999999999994</c:v>
                </c:pt>
                <c:pt idx="19">
                  <c:v>0.93600000000000005</c:v>
                </c:pt>
                <c:pt idx="20">
                  <c:v>0.93400000000000005</c:v>
                </c:pt>
                <c:pt idx="21">
                  <c:v>0.93200000000000005</c:v>
                </c:pt>
                <c:pt idx="22">
                  <c:v>0.93</c:v>
                </c:pt>
                <c:pt idx="23">
                  <c:v>0.92800000000000005</c:v>
                </c:pt>
                <c:pt idx="24">
                  <c:v>0.92600000000000005</c:v>
                </c:pt>
                <c:pt idx="25">
                  <c:v>0.92400000000000004</c:v>
                </c:pt>
                <c:pt idx="26">
                  <c:v>0.92200000000000004</c:v>
                </c:pt>
                <c:pt idx="27">
                  <c:v>0.92</c:v>
                </c:pt>
                <c:pt idx="28">
                  <c:v>0.91800000000000004</c:v>
                </c:pt>
                <c:pt idx="29">
                  <c:v>0.91600000000000004</c:v>
                </c:pt>
                <c:pt idx="30">
                  <c:v>0.91400000000000003</c:v>
                </c:pt>
                <c:pt idx="31">
                  <c:v>0.91200000000000003</c:v>
                </c:pt>
                <c:pt idx="32">
                  <c:v>0.91</c:v>
                </c:pt>
                <c:pt idx="33">
                  <c:v>0.90800000000000003</c:v>
                </c:pt>
                <c:pt idx="34">
                  <c:v>0.90600000000000003</c:v>
                </c:pt>
                <c:pt idx="35">
                  <c:v>0.90400000000000003</c:v>
                </c:pt>
                <c:pt idx="36">
                  <c:v>0.90200000000000002</c:v>
                </c:pt>
                <c:pt idx="37">
                  <c:v>0.9</c:v>
                </c:pt>
                <c:pt idx="38">
                  <c:v>0.89800000000000002</c:v>
                </c:pt>
                <c:pt idx="39">
                  <c:v>0.89600000000000002</c:v>
                </c:pt>
                <c:pt idx="40">
                  <c:v>0.89400000000000002</c:v>
                </c:pt>
                <c:pt idx="41">
                  <c:v>0.89200000000000002</c:v>
                </c:pt>
                <c:pt idx="42">
                  <c:v>0.89</c:v>
                </c:pt>
                <c:pt idx="43">
                  <c:v>0.88800000000000001</c:v>
                </c:pt>
                <c:pt idx="44">
                  <c:v>0.88600000000000001</c:v>
                </c:pt>
                <c:pt idx="45">
                  <c:v>0.88400000000000001</c:v>
                </c:pt>
                <c:pt idx="46">
                  <c:v>0.88200000000000001</c:v>
                </c:pt>
                <c:pt idx="47">
                  <c:v>0.88</c:v>
                </c:pt>
                <c:pt idx="48">
                  <c:v>0.87800000000000022</c:v>
                </c:pt>
                <c:pt idx="49">
                  <c:v>0.87600000000000022</c:v>
                </c:pt>
                <c:pt idx="50">
                  <c:v>0.87400000000000022</c:v>
                </c:pt>
                <c:pt idx="51">
                  <c:v>0.87200000000000022</c:v>
                </c:pt>
                <c:pt idx="52">
                  <c:v>0.87000000000000022</c:v>
                </c:pt>
                <c:pt idx="53">
                  <c:v>0.86800000000000022</c:v>
                </c:pt>
                <c:pt idx="54">
                  <c:v>0.86600000000000021</c:v>
                </c:pt>
                <c:pt idx="55">
                  <c:v>0.86400000000000021</c:v>
                </c:pt>
                <c:pt idx="56">
                  <c:v>0.86200000000000021</c:v>
                </c:pt>
                <c:pt idx="57">
                  <c:v>0.86000000000000021</c:v>
                </c:pt>
                <c:pt idx="58">
                  <c:v>0.85800000000000021</c:v>
                </c:pt>
                <c:pt idx="59">
                  <c:v>0.85600000000000021</c:v>
                </c:pt>
                <c:pt idx="60">
                  <c:v>0.8540000000000002</c:v>
                </c:pt>
                <c:pt idx="61">
                  <c:v>0.8520000000000002</c:v>
                </c:pt>
                <c:pt idx="62">
                  <c:v>0.8500000000000002</c:v>
                </c:pt>
                <c:pt idx="63">
                  <c:v>0.8480000000000002</c:v>
                </c:pt>
                <c:pt idx="64">
                  <c:v>0.8460000000000002</c:v>
                </c:pt>
                <c:pt idx="65">
                  <c:v>0.84400000000000019</c:v>
                </c:pt>
                <c:pt idx="66">
                  <c:v>0.84200000000000019</c:v>
                </c:pt>
                <c:pt idx="67">
                  <c:v>0.84000000000000019</c:v>
                </c:pt>
                <c:pt idx="68">
                  <c:v>0.83800000000000019</c:v>
                </c:pt>
                <c:pt idx="69">
                  <c:v>0.83600000000000019</c:v>
                </c:pt>
                <c:pt idx="70">
                  <c:v>0.83400000000000019</c:v>
                </c:pt>
                <c:pt idx="71">
                  <c:v>0.83200000000000018</c:v>
                </c:pt>
                <c:pt idx="72">
                  <c:v>0.83000000000000018</c:v>
                </c:pt>
                <c:pt idx="73">
                  <c:v>0.82800000000000018</c:v>
                </c:pt>
                <c:pt idx="74">
                  <c:v>0.82600000000000018</c:v>
                </c:pt>
                <c:pt idx="75">
                  <c:v>0.82399999999999995</c:v>
                </c:pt>
                <c:pt idx="76">
                  <c:v>0.82199999999999995</c:v>
                </c:pt>
                <c:pt idx="77">
                  <c:v>0.82000000000000017</c:v>
                </c:pt>
                <c:pt idx="78">
                  <c:v>0.81799999999999995</c:v>
                </c:pt>
                <c:pt idx="79">
                  <c:v>0.81599999999999995</c:v>
                </c:pt>
                <c:pt idx="80">
                  <c:v>0.81399999999999995</c:v>
                </c:pt>
                <c:pt idx="81">
                  <c:v>0.81200000000000028</c:v>
                </c:pt>
                <c:pt idx="82">
                  <c:v>0.81</c:v>
                </c:pt>
              </c:numCache>
            </c:numRef>
          </c:yVal>
          <c:smooth val="1"/>
        </c:ser>
        <c:axId val="75719040"/>
        <c:axId val="75720576"/>
      </c:scatterChart>
      <c:valAx>
        <c:axId val="75719040"/>
        <c:scaling>
          <c:orientation val="minMax"/>
        </c:scaling>
        <c:axPos val="b"/>
        <c:majorGridlines/>
        <c:numFmt formatCode="General" sourceLinked="1"/>
        <c:tickLblPos val="nextTo"/>
        <c:crossAx val="75720576"/>
        <c:crosses val="autoZero"/>
        <c:crossBetween val="midCat"/>
      </c:valAx>
      <c:valAx>
        <c:axId val="75720576"/>
        <c:scaling>
          <c:orientation val="minMax"/>
          <c:min val="0.8"/>
        </c:scaling>
        <c:axPos val="l"/>
        <c:majorGridlines/>
        <c:numFmt formatCode="General" sourceLinked="1"/>
        <c:tickLblPos val="nextTo"/>
        <c:crossAx val="75719040"/>
        <c:crosses val="autoZero"/>
        <c:crossBetween val="midCat"/>
        <c:majorUnit val="0.05"/>
      </c:valAx>
    </c:plotArea>
    <c:legend>
      <c:legendPos val="r"/>
    </c:legend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en-US"/>
              <a:t>2019</a:t>
            </a:r>
            <a:r>
              <a:rPr lang="en-US" baseline="0"/>
              <a:t> Peak Summer - Normal System</a:t>
            </a:r>
            <a:endParaRPr lang="en-US"/>
          </a:p>
        </c:rich>
      </c:tx>
    </c:title>
    <c:plotArea>
      <c:layout/>
      <c:scatterChart>
        <c:scatterStyle val="smoothMarker"/>
        <c:ser>
          <c:idx val="0"/>
          <c:order val="0"/>
          <c:tx>
            <c:strRef>
              <c:f>'2019-northvalley25_No-fault-cgc'!$C$171</c:f>
              <c:strCache>
                <c:ptCount val="1"/>
                <c:pt idx="0">
                  <c:v>Voltage</c:v>
                </c:pt>
              </c:strCache>
            </c:strRef>
          </c:tx>
          <c:xVal>
            <c:numRef>
              <c:f>'2019-northvalley25_No-fault-cgc'!$B$172:$B$239</c:f>
              <c:numCache>
                <c:formatCode>General</c:formatCode>
                <c:ptCount val="68"/>
                <c:pt idx="0">
                  <c:v>-45.7</c:v>
                </c:pt>
                <c:pt idx="1">
                  <c:v>-90.7</c:v>
                </c:pt>
                <c:pt idx="2">
                  <c:v>-134.6</c:v>
                </c:pt>
                <c:pt idx="3">
                  <c:v>-151.80000000000001</c:v>
                </c:pt>
                <c:pt idx="4">
                  <c:v>-168.8</c:v>
                </c:pt>
                <c:pt idx="5">
                  <c:v>-185.6</c:v>
                </c:pt>
                <c:pt idx="6">
                  <c:v>-202.1</c:v>
                </c:pt>
                <c:pt idx="7">
                  <c:v>-217.7</c:v>
                </c:pt>
                <c:pt idx="8">
                  <c:v>-232.3</c:v>
                </c:pt>
                <c:pt idx="9">
                  <c:v>-246.9</c:v>
                </c:pt>
                <c:pt idx="10">
                  <c:v>-261.5</c:v>
                </c:pt>
                <c:pt idx="11">
                  <c:v>-275.89999999999986</c:v>
                </c:pt>
                <c:pt idx="12">
                  <c:v>-290.3</c:v>
                </c:pt>
                <c:pt idx="13">
                  <c:v>-304.60000000000002</c:v>
                </c:pt>
                <c:pt idx="14">
                  <c:v>-318.8</c:v>
                </c:pt>
                <c:pt idx="15">
                  <c:v>-332.8</c:v>
                </c:pt>
                <c:pt idx="16">
                  <c:v>-346.8</c:v>
                </c:pt>
                <c:pt idx="17">
                  <c:v>-360.7</c:v>
                </c:pt>
                <c:pt idx="18">
                  <c:v>-374.4</c:v>
                </c:pt>
                <c:pt idx="19">
                  <c:v>-387.3</c:v>
                </c:pt>
                <c:pt idx="20">
                  <c:v>-399.7</c:v>
                </c:pt>
                <c:pt idx="21">
                  <c:v>-412.1</c:v>
                </c:pt>
                <c:pt idx="22">
                  <c:v>-420.2</c:v>
                </c:pt>
                <c:pt idx="23">
                  <c:v>-426.6</c:v>
                </c:pt>
                <c:pt idx="24">
                  <c:v>-432.7</c:v>
                </c:pt>
                <c:pt idx="25">
                  <c:v>-438.8</c:v>
                </c:pt>
                <c:pt idx="26">
                  <c:v>-444.7</c:v>
                </c:pt>
                <c:pt idx="27">
                  <c:v>-450.6</c:v>
                </c:pt>
                <c:pt idx="28">
                  <c:v>-456.4</c:v>
                </c:pt>
                <c:pt idx="29">
                  <c:v>-462.1</c:v>
                </c:pt>
                <c:pt idx="30">
                  <c:v>-467.8</c:v>
                </c:pt>
                <c:pt idx="31">
                  <c:v>-473.4</c:v>
                </c:pt>
                <c:pt idx="32">
                  <c:v>-478.6</c:v>
                </c:pt>
                <c:pt idx="33">
                  <c:v>-483</c:v>
                </c:pt>
                <c:pt idx="34">
                  <c:v>-486.3</c:v>
                </c:pt>
                <c:pt idx="35">
                  <c:v>-489.2</c:v>
                </c:pt>
                <c:pt idx="36">
                  <c:v>-492.1</c:v>
                </c:pt>
                <c:pt idx="37">
                  <c:v>-494.8</c:v>
                </c:pt>
                <c:pt idx="38">
                  <c:v>-497.6</c:v>
                </c:pt>
                <c:pt idx="39">
                  <c:v>-500.3</c:v>
                </c:pt>
                <c:pt idx="40">
                  <c:v>-502.9</c:v>
                </c:pt>
                <c:pt idx="41">
                  <c:v>-505.4</c:v>
                </c:pt>
                <c:pt idx="42">
                  <c:v>-507.9</c:v>
                </c:pt>
                <c:pt idx="43">
                  <c:v>-510.4</c:v>
                </c:pt>
                <c:pt idx="44">
                  <c:v>-512.70000000000005</c:v>
                </c:pt>
                <c:pt idx="45">
                  <c:v>-515</c:v>
                </c:pt>
                <c:pt idx="46">
                  <c:v>-517.29999999999995</c:v>
                </c:pt>
                <c:pt idx="47">
                  <c:v>-519.4</c:v>
                </c:pt>
                <c:pt idx="48">
                  <c:v>-520.9</c:v>
                </c:pt>
                <c:pt idx="49">
                  <c:v>-522.20000000000005</c:v>
                </c:pt>
                <c:pt idx="50">
                  <c:v>-523.5</c:v>
                </c:pt>
                <c:pt idx="51">
                  <c:v>-524.70000000000005</c:v>
                </c:pt>
                <c:pt idx="52">
                  <c:v>-525.9</c:v>
                </c:pt>
                <c:pt idx="53">
                  <c:v>-526.9</c:v>
                </c:pt>
                <c:pt idx="54">
                  <c:v>-528</c:v>
                </c:pt>
                <c:pt idx="55">
                  <c:v>-528.9</c:v>
                </c:pt>
                <c:pt idx="56">
                  <c:v>-529.79999999999995</c:v>
                </c:pt>
                <c:pt idx="57">
                  <c:v>-530.4</c:v>
                </c:pt>
                <c:pt idx="58">
                  <c:v>-530.79999999999995</c:v>
                </c:pt>
                <c:pt idx="59">
                  <c:v>-531.1</c:v>
                </c:pt>
                <c:pt idx="60">
                  <c:v>-531.29999999999995</c:v>
                </c:pt>
                <c:pt idx="61">
                  <c:v>-531.5</c:v>
                </c:pt>
                <c:pt idx="62">
                  <c:v>-531.1</c:v>
                </c:pt>
                <c:pt idx="63">
                  <c:v>-530.6</c:v>
                </c:pt>
                <c:pt idx="64">
                  <c:v>-530.1</c:v>
                </c:pt>
                <c:pt idx="65">
                  <c:v>-529.5</c:v>
                </c:pt>
                <c:pt idx="66">
                  <c:v>-528.79999999999995</c:v>
                </c:pt>
                <c:pt idx="67">
                  <c:v>-528.1</c:v>
                </c:pt>
              </c:numCache>
            </c:numRef>
          </c:xVal>
          <c:yVal>
            <c:numRef>
              <c:f>'2019-northvalley25_No-fault-cgc'!$C$172:$C$239</c:f>
              <c:numCache>
                <c:formatCode>General</c:formatCode>
                <c:ptCount val="68"/>
                <c:pt idx="0">
                  <c:v>0.96000000000000019</c:v>
                </c:pt>
                <c:pt idx="1">
                  <c:v>0.95500000000000018</c:v>
                </c:pt>
                <c:pt idx="2">
                  <c:v>0.95000000000000018</c:v>
                </c:pt>
                <c:pt idx="3">
                  <c:v>0.94799999999999995</c:v>
                </c:pt>
                <c:pt idx="4">
                  <c:v>0.94599999999999995</c:v>
                </c:pt>
                <c:pt idx="5">
                  <c:v>0.94399999999999995</c:v>
                </c:pt>
                <c:pt idx="6">
                  <c:v>0.94199999999999995</c:v>
                </c:pt>
                <c:pt idx="7">
                  <c:v>0.94000000000000017</c:v>
                </c:pt>
                <c:pt idx="8">
                  <c:v>0.93799999999999994</c:v>
                </c:pt>
                <c:pt idx="9">
                  <c:v>0.93600000000000005</c:v>
                </c:pt>
                <c:pt idx="10">
                  <c:v>0.93400000000000005</c:v>
                </c:pt>
                <c:pt idx="11">
                  <c:v>0.93200000000000005</c:v>
                </c:pt>
                <c:pt idx="12">
                  <c:v>0.93</c:v>
                </c:pt>
                <c:pt idx="13">
                  <c:v>0.92800000000000005</c:v>
                </c:pt>
                <c:pt idx="14">
                  <c:v>0.92600000000000005</c:v>
                </c:pt>
                <c:pt idx="15">
                  <c:v>0.92400000000000004</c:v>
                </c:pt>
                <c:pt idx="16">
                  <c:v>0.92200000000000004</c:v>
                </c:pt>
                <c:pt idx="17">
                  <c:v>0.92</c:v>
                </c:pt>
                <c:pt idx="18">
                  <c:v>0.91800000000000004</c:v>
                </c:pt>
                <c:pt idx="19">
                  <c:v>0.91600000000000004</c:v>
                </c:pt>
                <c:pt idx="20">
                  <c:v>0.91400000000000003</c:v>
                </c:pt>
                <c:pt idx="21">
                  <c:v>0.91200000000000003</c:v>
                </c:pt>
                <c:pt idx="22">
                  <c:v>0.91</c:v>
                </c:pt>
                <c:pt idx="23">
                  <c:v>0.90800000000000003</c:v>
                </c:pt>
                <c:pt idx="24">
                  <c:v>0.90600000000000003</c:v>
                </c:pt>
                <c:pt idx="25">
                  <c:v>0.90400000000000003</c:v>
                </c:pt>
                <c:pt idx="26">
                  <c:v>0.90200000000000002</c:v>
                </c:pt>
                <c:pt idx="27">
                  <c:v>0.9</c:v>
                </c:pt>
                <c:pt idx="28">
                  <c:v>0.89800000000000013</c:v>
                </c:pt>
                <c:pt idx="29">
                  <c:v>0.89600000000000013</c:v>
                </c:pt>
                <c:pt idx="30">
                  <c:v>0.89400000000000013</c:v>
                </c:pt>
                <c:pt idx="31">
                  <c:v>0.89200000000000013</c:v>
                </c:pt>
                <c:pt idx="32">
                  <c:v>0.89000000000000012</c:v>
                </c:pt>
                <c:pt idx="33">
                  <c:v>0.88800000000000012</c:v>
                </c:pt>
                <c:pt idx="34">
                  <c:v>0.88600000000000012</c:v>
                </c:pt>
                <c:pt idx="35">
                  <c:v>0.88400000000000012</c:v>
                </c:pt>
                <c:pt idx="36">
                  <c:v>0.88200000000000012</c:v>
                </c:pt>
                <c:pt idx="37">
                  <c:v>0.88000000000000012</c:v>
                </c:pt>
                <c:pt idx="38">
                  <c:v>0.87800000000000022</c:v>
                </c:pt>
                <c:pt idx="39">
                  <c:v>0.87600000000000022</c:v>
                </c:pt>
                <c:pt idx="40">
                  <c:v>0.87400000000000022</c:v>
                </c:pt>
                <c:pt idx="41">
                  <c:v>0.87200000000000022</c:v>
                </c:pt>
                <c:pt idx="42">
                  <c:v>0.87000000000000022</c:v>
                </c:pt>
                <c:pt idx="43">
                  <c:v>0.86800000000000022</c:v>
                </c:pt>
                <c:pt idx="44">
                  <c:v>0.86600000000000021</c:v>
                </c:pt>
                <c:pt idx="45">
                  <c:v>0.86400000000000021</c:v>
                </c:pt>
                <c:pt idx="46">
                  <c:v>0.86200000000000021</c:v>
                </c:pt>
                <c:pt idx="47">
                  <c:v>0.86000000000000021</c:v>
                </c:pt>
                <c:pt idx="48">
                  <c:v>0.85800000000000021</c:v>
                </c:pt>
                <c:pt idx="49">
                  <c:v>0.85600000000000021</c:v>
                </c:pt>
                <c:pt idx="50">
                  <c:v>0.8540000000000002</c:v>
                </c:pt>
                <c:pt idx="51">
                  <c:v>0.8520000000000002</c:v>
                </c:pt>
                <c:pt idx="52">
                  <c:v>0.8500000000000002</c:v>
                </c:pt>
                <c:pt idx="53">
                  <c:v>0.8480000000000002</c:v>
                </c:pt>
                <c:pt idx="54">
                  <c:v>0.8460000000000002</c:v>
                </c:pt>
                <c:pt idx="55">
                  <c:v>0.84400000000000019</c:v>
                </c:pt>
                <c:pt idx="56">
                  <c:v>0.84200000000000019</c:v>
                </c:pt>
                <c:pt idx="57">
                  <c:v>0.84000000000000019</c:v>
                </c:pt>
                <c:pt idx="58">
                  <c:v>0.83800000000000019</c:v>
                </c:pt>
                <c:pt idx="59">
                  <c:v>0.83600000000000019</c:v>
                </c:pt>
                <c:pt idx="60">
                  <c:v>0.83400000000000019</c:v>
                </c:pt>
                <c:pt idx="61">
                  <c:v>0.83200000000000018</c:v>
                </c:pt>
                <c:pt idx="62">
                  <c:v>0.83000000000000018</c:v>
                </c:pt>
                <c:pt idx="63">
                  <c:v>0.82800000000000018</c:v>
                </c:pt>
                <c:pt idx="64">
                  <c:v>0.82600000000000018</c:v>
                </c:pt>
                <c:pt idx="65">
                  <c:v>0.82399999999999995</c:v>
                </c:pt>
                <c:pt idx="66">
                  <c:v>0.82199999999999995</c:v>
                </c:pt>
                <c:pt idx="67">
                  <c:v>0.82000000000000017</c:v>
                </c:pt>
              </c:numCache>
            </c:numRef>
          </c:yVal>
          <c:smooth val="1"/>
        </c:ser>
        <c:axId val="119420416"/>
        <c:axId val="140273920"/>
      </c:scatterChart>
      <c:valAx>
        <c:axId val="119420416"/>
        <c:scaling>
          <c:orientation val="minMax"/>
        </c:scaling>
        <c:axPos val="b"/>
        <c:majorGridlines/>
        <c:numFmt formatCode="General" sourceLinked="1"/>
        <c:tickLblPos val="nextTo"/>
        <c:crossAx val="140273920"/>
        <c:crosses val="autoZero"/>
        <c:crossBetween val="midCat"/>
      </c:valAx>
      <c:valAx>
        <c:axId val="140273920"/>
        <c:scaling>
          <c:orientation val="minMax"/>
        </c:scaling>
        <c:axPos val="l"/>
        <c:majorGridlines/>
        <c:numFmt formatCode="General" sourceLinked="1"/>
        <c:tickLblPos val="nextTo"/>
        <c:crossAx val="119420416"/>
        <c:crosses val="autoZero"/>
        <c:crossBetween val="midCat"/>
      </c:valAx>
    </c:plotArea>
    <c:legend>
      <c:legendPos val="r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0.79888</cdr:x>
      <cdr:y>0.93285</cdr:y>
    </cdr:from>
    <cdr:to>
      <cdr:x>0.86257</cdr:x>
      <cdr:y>0.9781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810376" y="6086476"/>
          <a:ext cx="542925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/>
            <a:t>MVar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WAPA/SNR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</dc:creator>
  <cp:keywords/>
  <dc:description/>
  <cp:lastModifiedBy>Tobias</cp:lastModifiedBy>
  <cp:revision>4</cp:revision>
  <dcterms:created xsi:type="dcterms:W3CDTF">2009-10-28T20:31:00Z</dcterms:created>
  <dcterms:modified xsi:type="dcterms:W3CDTF">2009-10-28T20:46:00Z</dcterms:modified>
</cp:coreProperties>
</file>